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DF97A" w14:textId="77777777" w:rsidR="00E614EA" w:rsidRPr="003B4314" w:rsidRDefault="00E614EA" w:rsidP="009B202E">
      <w:pPr>
        <w:suppressLineNumbers/>
        <w:spacing w:before="120" w:after="120"/>
        <w:jc w:val="center"/>
        <w:rPr>
          <w:rFonts w:eastAsia="Arial" w:cs="Arial"/>
          <w:b/>
        </w:rPr>
      </w:pPr>
    </w:p>
    <w:p w14:paraId="0158A014" w14:textId="77777777" w:rsidR="00E614EA" w:rsidRPr="003B4314" w:rsidRDefault="00E614EA" w:rsidP="009B202E">
      <w:pPr>
        <w:suppressLineNumbers/>
        <w:spacing w:before="120" w:after="120"/>
        <w:jc w:val="center"/>
        <w:rPr>
          <w:rFonts w:eastAsia="Arial" w:cs="Arial"/>
          <w:b/>
        </w:rPr>
      </w:pPr>
    </w:p>
    <w:p w14:paraId="4001E22D" w14:textId="77777777" w:rsidR="00E614EA" w:rsidRPr="003B4314" w:rsidRDefault="00E614EA" w:rsidP="009B202E">
      <w:pPr>
        <w:suppressLineNumbers/>
        <w:spacing w:before="120" w:after="120"/>
        <w:jc w:val="center"/>
        <w:rPr>
          <w:rFonts w:eastAsia="Arial" w:cs="Arial"/>
          <w:b/>
        </w:rPr>
      </w:pPr>
    </w:p>
    <w:p w14:paraId="234EBA0F" w14:textId="77777777" w:rsidR="00E614EA" w:rsidRPr="003B4314" w:rsidRDefault="00E614EA" w:rsidP="009B202E">
      <w:pPr>
        <w:suppressLineNumbers/>
        <w:spacing w:before="120" w:after="120"/>
        <w:jc w:val="center"/>
        <w:rPr>
          <w:rFonts w:eastAsia="Arial" w:cs="Arial"/>
          <w:b/>
        </w:rPr>
      </w:pPr>
    </w:p>
    <w:p w14:paraId="1E448AFF" w14:textId="77777777" w:rsidR="00E614EA" w:rsidRPr="003B4314" w:rsidRDefault="00E614EA" w:rsidP="009B202E">
      <w:pPr>
        <w:suppressLineNumbers/>
        <w:spacing w:before="120" w:after="120"/>
        <w:jc w:val="center"/>
        <w:rPr>
          <w:rFonts w:eastAsia="Arial" w:cs="Arial"/>
          <w:b/>
        </w:rPr>
      </w:pPr>
    </w:p>
    <w:p w14:paraId="46951F4B" w14:textId="77777777" w:rsidR="00E614EA" w:rsidRPr="003B4314" w:rsidRDefault="00E614EA" w:rsidP="009B202E">
      <w:pPr>
        <w:suppressLineNumbers/>
        <w:spacing w:before="120" w:after="120"/>
        <w:jc w:val="center"/>
        <w:rPr>
          <w:rFonts w:eastAsia="Arial" w:cs="Arial"/>
          <w:b/>
        </w:rPr>
      </w:pPr>
    </w:p>
    <w:p w14:paraId="61DE6519" w14:textId="77777777" w:rsidR="00E614EA" w:rsidRPr="003B4314" w:rsidRDefault="00E614EA" w:rsidP="009B202E">
      <w:pPr>
        <w:suppressLineNumbers/>
        <w:spacing w:before="120" w:after="120"/>
        <w:jc w:val="center"/>
        <w:rPr>
          <w:rFonts w:eastAsia="Arial" w:cs="Arial"/>
          <w:b/>
        </w:rPr>
      </w:pPr>
    </w:p>
    <w:p w14:paraId="2BD95CA8" w14:textId="77777777" w:rsidR="00E614EA" w:rsidRPr="003B4314" w:rsidRDefault="00E614EA" w:rsidP="009B202E">
      <w:pPr>
        <w:suppressLineNumbers/>
        <w:spacing w:before="120" w:after="120"/>
        <w:jc w:val="center"/>
        <w:rPr>
          <w:rFonts w:eastAsia="Arial" w:cs="Arial"/>
          <w:b/>
        </w:rPr>
      </w:pPr>
    </w:p>
    <w:p w14:paraId="4CC45413" w14:textId="77777777" w:rsidR="00B15030" w:rsidRPr="003B4314" w:rsidRDefault="00B15030" w:rsidP="009B202E">
      <w:pPr>
        <w:suppressLineNumbers/>
        <w:spacing w:before="120" w:after="120"/>
        <w:jc w:val="center"/>
        <w:rPr>
          <w:rFonts w:eastAsia="Arial" w:cs="Arial"/>
          <w:b/>
        </w:rPr>
      </w:pPr>
    </w:p>
    <w:p w14:paraId="22DA3BD7" w14:textId="77777777" w:rsidR="00E614EA" w:rsidRPr="003B4314" w:rsidRDefault="00E614EA" w:rsidP="009B202E">
      <w:pPr>
        <w:suppressLineNumbers/>
        <w:spacing w:before="120" w:after="120"/>
        <w:jc w:val="center"/>
        <w:rPr>
          <w:rFonts w:eastAsia="Arial" w:cs="Arial"/>
          <w:b/>
        </w:rPr>
      </w:pPr>
    </w:p>
    <w:p w14:paraId="29365FE7" w14:textId="77777777" w:rsidR="00E614EA" w:rsidRPr="003B4314" w:rsidRDefault="00E614EA" w:rsidP="009B202E">
      <w:pPr>
        <w:suppressLineNumbers/>
        <w:spacing w:before="120" w:after="120"/>
        <w:jc w:val="center"/>
        <w:rPr>
          <w:rFonts w:eastAsia="Arial" w:cs="Arial"/>
          <w:b/>
        </w:rPr>
      </w:pPr>
    </w:p>
    <w:p w14:paraId="2609EE9F" w14:textId="77777777" w:rsidR="00E614EA" w:rsidRPr="003B4314" w:rsidRDefault="00E614EA" w:rsidP="009B202E">
      <w:pPr>
        <w:suppressLineNumbers/>
        <w:spacing w:before="120" w:after="120"/>
        <w:jc w:val="center"/>
        <w:rPr>
          <w:rFonts w:eastAsia="Arial" w:cs="Arial"/>
          <w:b/>
        </w:rPr>
      </w:pPr>
    </w:p>
    <w:p w14:paraId="66140B19" w14:textId="77777777" w:rsidR="00E614EA" w:rsidRPr="003B4314" w:rsidRDefault="00E614EA" w:rsidP="009B202E">
      <w:pPr>
        <w:suppressLineNumbers/>
        <w:spacing w:before="120" w:after="120"/>
        <w:jc w:val="center"/>
        <w:rPr>
          <w:rFonts w:eastAsia="Arial" w:cs="Arial"/>
          <w:b/>
        </w:rPr>
      </w:pPr>
    </w:p>
    <w:p w14:paraId="29FAA6E9" w14:textId="7C651AF8" w:rsidR="00E614EA" w:rsidRPr="003B4314" w:rsidRDefault="00A73C9D" w:rsidP="009B202E">
      <w:pPr>
        <w:suppressLineNumbers/>
        <w:spacing w:before="120" w:after="120"/>
        <w:jc w:val="center"/>
        <w:rPr>
          <w:rFonts w:eastAsia="Arial" w:cs="Arial"/>
          <w:b/>
          <w:sz w:val="32"/>
          <w:szCs w:val="32"/>
        </w:rPr>
      </w:pPr>
      <w:r>
        <w:rPr>
          <w:rFonts w:eastAsia="Arial" w:cs="Arial"/>
          <w:b/>
          <w:sz w:val="32"/>
          <w:szCs w:val="32"/>
        </w:rPr>
        <w:t>Otevřené vý</w:t>
      </w:r>
      <w:r w:rsidR="000B0456">
        <w:rPr>
          <w:rFonts w:eastAsia="Arial" w:cs="Arial"/>
          <w:b/>
          <w:sz w:val="32"/>
          <w:szCs w:val="32"/>
        </w:rPr>
        <w:t>zvy v bezpečnostním výzkumu 2023-20</w:t>
      </w:r>
      <w:r w:rsidR="00A6133E">
        <w:rPr>
          <w:rFonts w:eastAsia="Arial" w:cs="Arial"/>
          <w:b/>
          <w:sz w:val="32"/>
          <w:szCs w:val="32"/>
        </w:rPr>
        <w:t>29</w:t>
      </w:r>
      <w:r w:rsidR="00AE7761">
        <w:rPr>
          <w:rFonts w:eastAsia="Arial" w:cs="Arial"/>
          <w:b/>
          <w:sz w:val="32"/>
          <w:szCs w:val="32"/>
        </w:rPr>
        <w:t xml:space="preserve"> (</w:t>
      </w:r>
      <w:r w:rsidR="00163ACD">
        <w:rPr>
          <w:rFonts w:eastAsia="Arial" w:cs="Arial"/>
          <w:b/>
          <w:sz w:val="32"/>
          <w:szCs w:val="32"/>
        </w:rPr>
        <w:t>OPSEC</w:t>
      </w:r>
      <w:r w:rsidR="00AE7761">
        <w:rPr>
          <w:rFonts w:eastAsia="Arial" w:cs="Arial"/>
          <w:b/>
          <w:sz w:val="32"/>
          <w:szCs w:val="32"/>
        </w:rPr>
        <w:t>)</w:t>
      </w:r>
      <w:r w:rsidR="00840C15" w:rsidRPr="003B4314">
        <w:rPr>
          <w:rFonts w:eastAsia="Arial" w:cs="Arial"/>
          <w:b/>
          <w:sz w:val="32"/>
          <w:szCs w:val="32"/>
        </w:rPr>
        <w:t xml:space="preserve"> </w:t>
      </w:r>
    </w:p>
    <w:p w14:paraId="0FE1F08B" w14:textId="77777777" w:rsidR="00E614EA" w:rsidRPr="003B4314" w:rsidRDefault="00E614EA" w:rsidP="009B202E">
      <w:pPr>
        <w:suppressLineNumbers/>
        <w:spacing w:before="120" w:after="120"/>
        <w:jc w:val="center"/>
        <w:rPr>
          <w:rFonts w:eastAsia="Arial" w:cs="Arial"/>
          <w:b/>
        </w:rPr>
      </w:pPr>
    </w:p>
    <w:p w14:paraId="69D5CB4D" w14:textId="77777777" w:rsidR="00E614EA" w:rsidRPr="003B4314" w:rsidRDefault="00E614EA" w:rsidP="009B202E">
      <w:pPr>
        <w:suppressLineNumbers/>
        <w:spacing w:before="120" w:after="120"/>
        <w:jc w:val="center"/>
        <w:rPr>
          <w:rFonts w:eastAsia="Arial" w:cs="Arial"/>
          <w:b/>
        </w:rPr>
      </w:pPr>
    </w:p>
    <w:p w14:paraId="49E53BC3" w14:textId="77777777" w:rsidR="00E614EA" w:rsidRPr="003B4314" w:rsidRDefault="00E614EA" w:rsidP="009B202E">
      <w:pPr>
        <w:suppressLineNumbers/>
        <w:spacing w:before="120" w:after="120"/>
        <w:jc w:val="center"/>
        <w:rPr>
          <w:rFonts w:eastAsia="Arial" w:cs="Arial"/>
          <w:b/>
        </w:rPr>
      </w:pPr>
    </w:p>
    <w:p w14:paraId="7A328C2A" w14:textId="77777777" w:rsidR="00E614EA" w:rsidRPr="003B4314" w:rsidRDefault="00E614EA" w:rsidP="009B202E">
      <w:pPr>
        <w:suppressLineNumbers/>
        <w:spacing w:before="120" w:after="120"/>
        <w:jc w:val="center"/>
        <w:rPr>
          <w:rFonts w:eastAsia="Arial" w:cs="Arial"/>
          <w:b/>
        </w:rPr>
      </w:pPr>
    </w:p>
    <w:p w14:paraId="00382FC8" w14:textId="77777777" w:rsidR="00E614EA" w:rsidRPr="003B4314" w:rsidRDefault="00E614EA" w:rsidP="009B202E">
      <w:pPr>
        <w:suppressLineNumbers/>
        <w:spacing w:before="120" w:after="120"/>
        <w:jc w:val="center"/>
        <w:rPr>
          <w:rFonts w:eastAsia="Arial" w:cs="Arial"/>
          <w:b/>
        </w:rPr>
      </w:pPr>
    </w:p>
    <w:p w14:paraId="068DBD56" w14:textId="77777777" w:rsidR="00E614EA" w:rsidRPr="003B4314" w:rsidRDefault="00E614EA" w:rsidP="009B202E">
      <w:pPr>
        <w:suppressLineNumbers/>
        <w:spacing w:before="120" w:after="120"/>
        <w:jc w:val="center"/>
        <w:rPr>
          <w:rFonts w:eastAsia="Arial" w:cs="Arial"/>
          <w:b/>
        </w:rPr>
      </w:pPr>
    </w:p>
    <w:p w14:paraId="06A55022" w14:textId="77777777" w:rsidR="00E614EA" w:rsidRPr="003B4314" w:rsidRDefault="00E614EA" w:rsidP="009B202E">
      <w:pPr>
        <w:suppressLineNumbers/>
        <w:spacing w:before="120" w:after="120"/>
        <w:jc w:val="center"/>
        <w:rPr>
          <w:rFonts w:eastAsia="Arial" w:cs="Arial"/>
          <w:b/>
        </w:rPr>
      </w:pPr>
    </w:p>
    <w:p w14:paraId="0EFFD992" w14:textId="77777777" w:rsidR="00E614EA" w:rsidRPr="003B4314" w:rsidRDefault="00E614EA" w:rsidP="009B202E">
      <w:pPr>
        <w:suppressLineNumbers/>
        <w:spacing w:before="120" w:after="120"/>
        <w:jc w:val="center"/>
        <w:rPr>
          <w:rFonts w:eastAsia="Arial" w:cs="Arial"/>
          <w:b/>
        </w:rPr>
      </w:pPr>
    </w:p>
    <w:p w14:paraId="084A5F98" w14:textId="77777777" w:rsidR="00E614EA" w:rsidRPr="003B4314" w:rsidRDefault="003B4314" w:rsidP="009B202E">
      <w:pPr>
        <w:suppressLineNumbers/>
        <w:spacing w:after="120"/>
        <w:jc w:val="center"/>
        <w:rPr>
          <w:rFonts w:eastAsia="Arial"/>
        </w:rPr>
      </w:pPr>
      <w:r w:rsidRPr="003B4314">
        <w:rPr>
          <w:rFonts w:eastAsia="Arial"/>
        </w:rPr>
        <w:t>Praha 202</w:t>
      </w:r>
      <w:r w:rsidR="005D44A9">
        <w:rPr>
          <w:rFonts w:eastAsia="Arial"/>
        </w:rPr>
        <w:t>1</w:t>
      </w:r>
    </w:p>
    <w:p w14:paraId="28420DC0" w14:textId="77777777" w:rsidR="00E614EA" w:rsidRPr="003B4314" w:rsidRDefault="00E614EA" w:rsidP="009B202E">
      <w:pPr>
        <w:suppressLineNumbers/>
        <w:spacing w:before="120" w:after="120"/>
        <w:jc w:val="center"/>
        <w:rPr>
          <w:rFonts w:eastAsia="Arial" w:cs="Arial"/>
          <w:b/>
        </w:rPr>
      </w:pPr>
    </w:p>
    <w:p w14:paraId="091643A2" w14:textId="77777777" w:rsidR="00E614EA" w:rsidRPr="003B4314" w:rsidRDefault="00E614EA" w:rsidP="009B202E">
      <w:pPr>
        <w:suppressLineNumbers/>
        <w:spacing w:after="120"/>
        <w:jc w:val="left"/>
        <w:rPr>
          <w:rFonts w:eastAsia="Arial" w:cs="Arial"/>
          <w:b/>
        </w:rPr>
      </w:pPr>
      <w:r w:rsidRPr="003B4314">
        <w:rPr>
          <w:rFonts w:eastAsia="Arial" w:cs="Arial"/>
          <w:b/>
        </w:rPr>
        <w:br w:type="page"/>
      </w:r>
    </w:p>
    <w:sdt>
      <w:sdtPr>
        <w:rPr>
          <w:rFonts w:asciiTheme="minorHAnsi" w:eastAsiaTheme="minorEastAsia" w:hAnsiTheme="minorHAnsi" w:cstheme="minorBidi"/>
          <w:b w:val="0"/>
          <w:bCs w:val="0"/>
          <w:color w:val="auto"/>
          <w:sz w:val="22"/>
          <w:szCs w:val="22"/>
        </w:rPr>
        <w:id w:val="1539085347"/>
        <w:docPartObj>
          <w:docPartGallery w:val="Table of Contents"/>
          <w:docPartUnique/>
        </w:docPartObj>
      </w:sdtPr>
      <w:sdtEndPr/>
      <w:sdtContent>
        <w:p w14:paraId="362D46B0" w14:textId="3CDA2361" w:rsidR="00E4344C" w:rsidRPr="003B4314" w:rsidRDefault="00E4344C" w:rsidP="009B202E">
          <w:pPr>
            <w:pStyle w:val="Nadpisobsahu"/>
            <w:widowControl w:val="0"/>
            <w:numPr>
              <w:ilvl w:val="0"/>
              <w:numId w:val="0"/>
            </w:numPr>
            <w:suppressLineNumbers/>
            <w:spacing w:after="120"/>
            <w:rPr>
              <w:rFonts w:asciiTheme="minorHAnsi" w:hAnsiTheme="minorHAnsi"/>
              <w:sz w:val="22"/>
              <w:szCs w:val="22"/>
            </w:rPr>
          </w:pPr>
          <w:r w:rsidRPr="003B4314">
            <w:rPr>
              <w:rFonts w:asciiTheme="minorHAnsi" w:hAnsiTheme="minorHAnsi"/>
              <w:sz w:val="22"/>
              <w:szCs w:val="22"/>
            </w:rPr>
            <w:t>Obsah</w:t>
          </w:r>
          <w:r w:rsidR="00DF7CBA">
            <w:rPr>
              <w:rFonts w:asciiTheme="minorHAnsi" w:hAnsiTheme="minorHAnsi"/>
              <w:sz w:val="22"/>
              <w:szCs w:val="22"/>
            </w:rPr>
            <w:t xml:space="preserve"> </w:t>
          </w:r>
        </w:p>
        <w:p w14:paraId="135579D4" w14:textId="419FCE49" w:rsidR="0075505C" w:rsidRDefault="00E4344C">
          <w:pPr>
            <w:pStyle w:val="Obsah1"/>
            <w:rPr>
              <w:noProof/>
              <w:lang w:eastAsia="cs-CZ"/>
            </w:rPr>
          </w:pPr>
          <w:r w:rsidRPr="003B4314">
            <w:fldChar w:fldCharType="begin"/>
          </w:r>
          <w:r w:rsidRPr="003B4314">
            <w:instrText xml:space="preserve"> TOC \o "1-3" \h \z \u </w:instrText>
          </w:r>
          <w:r w:rsidRPr="003B4314">
            <w:fldChar w:fldCharType="separate"/>
          </w:r>
          <w:hyperlink w:anchor="_Toc83296709" w:history="1">
            <w:r w:rsidR="0075505C" w:rsidRPr="00141A0F">
              <w:rPr>
                <w:rStyle w:val="Hypertextovodkaz"/>
                <w:noProof/>
              </w:rPr>
              <w:t>1</w:t>
            </w:r>
            <w:r w:rsidR="0075505C">
              <w:rPr>
                <w:noProof/>
                <w:lang w:eastAsia="cs-CZ"/>
              </w:rPr>
              <w:tab/>
            </w:r>
            <w:r w:rsidR="0075505C" w:rsidRPr="00141A0F">
              <w:rPr>
                <w:rStyle w:val="Hypertextovodkaz"/>
                <w:noProof/>
              </w:rPr>
              <w:t>Identifikační údaje</w:t>
            </w:r>
            <w:r w:rsidR="0075505C">
              <w:rPr>
                <w:noProof/>
                <w:webHidden/>
              </w:rPr>
              <w:tab/>
            </w:r>
            <w:r w:rsidR="0075505C">
              <w:rPr>
                <w:noProof/>
                <w:webHidden/>
              </w:rPr>
              <w:fldChar w:fldCharType="begin"/>
            </w:r>
            <w:r w:rsidR="0075505C">
              <w:rPr>
                <w:noProof/>
                <w:webHidden/>
              </w:rPr>
              <w:instrText xml:space="preserve"> PAGEREF _Toc83296709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512F6732" w14:textId="57E6B4EA" w:rsidR="0075505C" w:rsidRDefault="00AD0DA4">
          <w:pPr>
            <w:pStyle w:val="Obsah2"/>
            <w:tabs>
              <w:tab w:val="left" w:pos="880"/>
            </w:tabs>
            <w:rPr>
              <w:noProof/>
              <w:lang w:eastAsia="cs-CZ"/>
            </w:rPr>
          </w:pPr>
          <w:hyperlink w:anchor="_Toc83296710" w:history="1">
            <w:r w:rsidR="0075505C" w:rsidRPr="00141A0F">
              <w:rPr>
                <w:rStyle w:val="Hypertextovodkaz"/>
                <w:noProof/>
              </w:rPr>
              <w:t>1.1</w:t>
            </w:r>
            <w:r w:rsidR="0075505C">
              <w:rPr>
                <w:noProof/>
                <w:lang w:eastAsia="cs-CZ"/>
              </w:rPr>
              <w:tab/>
            </w:r>
            <w:r w:rsidR="0075505C" w:rsidRPr="00141A0F">
              <w:rPr>
                <w:rStyle w:val="Hypertextovodkaz"/>
                <w:noProof/>
              </w:rPr>
              <w:t>Název programu</w:t>
            </w:r>
            <w:r w:rsidR="0075505C">
              <w:rPr>
                <w:noProof/>
                <w:webHidden/>
              </w:rPr>
              <w:tab/>
            </w:r>
            <w:r w:rsidR="0075505C">
              <w:rPr>
                <w:noProof/>
                <w:webHidden/>
              </w:rPr>
              <w:fldChar w:fldCharType="begin"/>
            </w:r>
            <w:r w:rsidR="0075505C">
              <w:rPr>
                <w:noProof/>
                <w:webHidden/>
              </w:rPr>
              <w:instrText xml:space="preserve"> PAGEREF _Toc83296710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2296D750" w14:textId="0C5CC049" w:rsidR="0075505C" w:rsidRDefault="00AD0DA4">
          <w:pPr>
            <w:pStyle w:val="Obsah2"/>
            <w:tabs>
              <w:tab w:val="left" w:pos="880"/>
            </w:tabs>
            <w:rPr>
              <w:noProof/>
              <w:lang w:eastAsia="cs-CZ"/>
            </w:rPr>
          </w:pPr>
          <w:hyperlink w:anchor="_Toc83296711" w:history="1">
            <w:r w:rsidR="0075505C" w:rsidRPr="00141A0F">
              <w:rPr>
                <w:rStyle w:val="Hypertextovodkaz"/>
                <w:noProof/>
              </w:rPr>
              <w:t>1.2</w:t>
            </w:r>
            <w:r w:rsidR="0075505C">
              <w:rPr>
                <w:noProof/>
                <w:lang w:eastAsia="cs-CZ"/>
              </w:rPr>
              <w:tab/>
            </w:r>
            <w:r w:rsidR="0075505C" w:rsidRPr="0075505C">
              <w:rPr>
                <w:rStyle w:val="Hypertextovodkaz"/>
                <w:rFonts w:cstheme="minorHAnsi"/>
                <w:noProof/>
              </w:rPr>
              <w:t>Právní</w:t>
            </w:r>
            <w:r w:rsidR="0075505C" w:rsidRPr="00141A0F">
              <w:rPr>
                <w:rStyle w:val="Hypertextovodkaz"/>
                <w:noProof/>
              </w:rPr>
              <w:t xml:space="preserve"> rámec programu</w:t>
            </w:r>
            <w:r w:rsidR="0075505C">
              <w:rPr>
                <w:noProof/>
                <w:webHidden/>
              </w:rPr>
              <w:tab/>
            </w:r>
            <w:r w:rsidR="0075505C">
              <w:rPr>
                <w:noProof/>
                <w:webHidden/>
              </w:rPr>
              <w:fldChar w:fldCharType="begin"/>
            </w:r>
            <w:r w:rsidR="0075505C">
              <w:rPr>
                <w:noProof/>
                <w:webHidden/>
              </w:rPr>
              <w:instrText xml:space="preserve"> PAGEREF _Toc83296711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0FCECBFE" w14:textId="08E14C1F" w:rsidR="0075505C" w:rsidRDefault="00AD0DA4">
          <w:pPr>
            <w:pStyle w:val="Obsah2"/>
            <w:tabs>
              <w:tab w:val="left" w:pos="880"/>
            </w:tabs>
            <w:rPr>
              <w:noProof/>
              <w:lang w:eastAsia="cs-CZ"/>
            </w:rPr>
          </w:pPr>
          <w:hyperlink w:anchor="_Toc83296712" w:history="1">
            <w:r w:rsidR="0075505C" w:rsidRPr="00141A0F">
              <w:rPr>
                <w:rStyle w:val="Hypertextovodkaz"/>
                <w:noProof/>
              </w:rPr>
              <w:t>1.3</w:t>
            </w:r>
            <w:r w:rsidR="0075505C">
              <w:rPr>
                <w:noProof/>
                <w:lang w:eastAsia="cs-CZ"/>
              </w:rPr>
              <w:tab/>
            </w:r>
            <w:r w:rsidR="0075505C" w:rsidRPr="00141A0F">
              <w:rPr>
                <w:rStyle w:val="Hypertextovodkaz"/>
                <w:noProof/>
              </w:rPr>
              <w:t>Identifikační kód programu</w:t>
            </w:r>
            <w:r w:rsidR="0075505C">
              <w:rPr>
                <w:noProof/>
                <w:webHidden/>
              </w:rPr>
              <w:tab/>
            </w:r>
            <w:r w:rsidR="0075505C">
              <w:rPr>
                <w:noProof/>
                <w:webHidden/>
              </w:rPr>
              <w:fldChar w:fldCharType="begin"/>
            </w:r>
            <w:r w:rsidR="0075505C">
              <w:rPr>
                <w:noProof/>
                <w:webHidden/>
              </w:rPr>
              <w:instrText xml:space="preserve"> PAGEREF _Toc83296712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0B747E08" w14:textId="53AEC662" w:rsidR="0075505C" w:rsidRDefault="00AD0DA4">
          <w:pPr>
            <w:pStyle w:val="Obsah2"/>
            <w:tabs>
              <w:tab w:val="left" w:pos="880"/>
            </w:tabs>
            <w:rPr>
              <w:noProof/>
              <w:lang w:eastAsia="cs-CZ"/>
            </w:rPr>
          </w:pPr>
          <w:hyperlink w:anchor="_Toc83296713" w:history="1">
            <w:r w:rsidR="0075505C" w:rsidRPr="00141A0F">
              <w:rPr>
                <w:rStyle w:val="Hypertextovodkaz"/>
                <w:noProof/>
              </w:rPr>
              <w:t>1.4</w:t>
            </w:r>
            <w:r w:rsidR="0075505C">
              <w:rPr>
                <w:noProof/>
                <w:lang w:eastAsia="cs-CZ"/>
              </w:rPr>
              <w:tab/>
            </w:r>
            <w:r w:rsidR="0075505C" w:rsidRPr="00141A0F">
              <w:rPr>
                <w:rStyle w:val="Hypertextovodkaz"/>
                <w:noProof/>
              </w:rPr>
              <w:t>Doba trvání a termíny vyhlášení programu</w:t>
            </w:r>
            <w:r w:rsidR="0075505C">
              <w:rPr>
                <w:noProof/>
                <w:webHidden/>
              </w:rPr>
              <w:tab/>
            </w:r>
            <w:r w:rsidR="0075505C">
              <w:rPr>
                <w:noProof/>
                <w:webHidden/>
              </w:rPr>
              <w:fldChar w:fldCharType="begin"/>
            </w:r>
            <w:r w:rsidR="0075505C">
              <w:rPr>
                <w:noProof/>
                <w:webHidden/>
              </w:rPr>
              <w:instrText xml:space="preserve"> PAGEREF _Toc83296713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0F13B993" w14:textId="4987853F" w:rsidR="0075505C" w:rsidRDefault="00AD0DA4">
          <w:pPr>
            <w:pStyle w:val="Obsah2"/>
            <w:tabs>
              <w:tab w:val="left" w:pos="880"/>
            </w:tabs>
            <w:rPr>
              <w:noProof/>
              <w:lang w:eastAsia="cs-CZ"/>
            </w:rPr>
          </w:pPr>
          <w:hyperlink w:anchor="_Toc83296714" w:history="1">
            <w:r w:rsidR="0075505C" w:rsidRPr="00141A0F">
              <w:rPr>
                <w:rStyle w:val="Hypertextovodkaz"/>
                <w:noProof/>
              </w:rPr>
              <w:t>1.5</w:t>
            </w:r>
            <w:r w:rsidR="0075505C">
              <w:rPr>
                <w:noProof/>
                <w:lang w:eastAsia="cs-CZ"/>
              </w:rPr>
              <w:tab/>
            </w:r>
            <w:r w:rsidR="0075505C" w:rsidRPr="00141A0F">
              <w:rPr>
                <w:rStyle w:val="Hypertextovodkaz"/>
                <w:noProof/>
              </w:rPr>
              <w:t>Kategorizace charakteru výzkumu</w:t>
            </w:r>
            <w:r w:rsidR="0075505C">
              <w:rPr>
                <w:noProof/>
                <w:webHidden/>
              </w:rPr>
              <w:tab/>
            </w:r>
            <w:r w:rsidR="0075505C">
              <w:rPr>
                <w:noProof/>
                <w:webHidden/>
              </w:rPr>
              <w:fldChar w:fldCharType="begin"/>
            </w:r>
            <w:r w:rsidR="0075505C">
              <w:rPr>
                <w:noProof/>
                <w:webHidden/>
              </w:rPr>
              <w:instrText xml:space="preserve"> PAGEREF _Toc83296714 \h </w:instrText>
            </w:r>
            <w:r w:rsidR="0075505C">
              <w:rPr>
                <w:noProof/>
                <w:webHidden/>
              </w:rPr>
            </w:r>
            <w:r w:rsidR="0075505C">
              <w:rPr>
                <w:noProof/>
                <w:webHidden/>
              </w:rPr>
              <w:fldChar w:fldCharType="separate"/>
            </w:r>
            <w:r w:rsidR="007D3CE5">
              <w:rPr>
                <w:noProof/>
                <w:webHidden/>
              </w:rPr>
              <w:t>4</w:t>
            </w:r>
            <w:r w:rsidR="0075505C">
              <w:rPr>
                <w:noProof/>
                <w:webHidden/>
              </w:rPr>
              <w:fldChar w:fldCharType="end"/>
            </w:r>
          </w:hyperlink>
        </w:p>
        <w:p w14:paraId="02C2E684" w14:textId="51109461" w:rsidR="0075505C" w:rsidRDefault="00AD0DA4">
          <w:pPr>
            <w:pStyle w:val="Obsah2"/>
            <w:tabs>
              <w:tab w:val="left" w:pos="880"/>
            </w:tabs>
            <w:rPr>
              <w:noProof/>
              <w:lang w:eastAsia="cs-CZ"/>
            </w:rPr>
          </w:pPr>
          <w:hyperlink w:anchor="_Toc83296715" w:history="1">
            <w:r w:rsidR="0075505C" w:rsidRPr="00141A0F">
              <w:rPr>
                <w:rStyle w:val="Hypertextovodkaz"/>
                <w:noProof/>
              </w:rPr>
              <w:t>1.6</w:t>
            </w:r>
            <w:r w:rsidR="0075505C">
              <w:rPr>
                <w:noProof/>
                <w:lang w:eastAsia="cs-CZ"/>
              </w:rPr>
              <w:tab/>
            </w:r>
            <w:r w:rsidR="0075505C" w:rsidRPr="00141A0F">
              <w:rPr>
                <w:rStyle w:val="Hypertextovodkaz"/>
                <w:noProof/>
              </w:rPr>
              <w:t>Poskytovatel</w:t>
            </w:r>
            <w:r w:rsidR="0075505C">
              <w:rPr>
                <w:noProof/>
                <w:webHidden/>
              </w:rPr>
              <w:tab/>
            </w:r>
            <w:r w:rsidR="0075505C">
              <w:rPr>
                <w:noProof/>
                <w:webHidden/>
              </w:rPr>
              <w:fldChar w:fldCharType="begin"/>
            </w:r>
            <w:r w:rsidR="0075505C">
              <w:rPr>
                <w:noProof/>
                <w:webHidden/>
              </w:rPr>
              <w:instrText xml:space="preserve"> PAGEREF _Toc83296715 \h </w:instrText>
            </w:r>
            <w:r w:rsidR="0075505C">
              <w:rPr>
                <w:noProof/>
                <w:webHidden/>
              </w:rPr>
            </w:r>
            <w:r w:rsidR="0075505C">
              <w:rPr>
                <w:noProof/>
                <w:webHidden/>
              </w:rPr>
              <w:fldChar w:fldCharType="separate"/>
            </w:r>
            <w:r w:rsidR="007D3CE5">
              <w:rPr>
                <w:noProof/>
                <w:webHidden/>
              </w:rPr>
              <w:t>5</w:t>
            </w:r>
            <w:r w:rsidR="0075505C">
              <w:rPr>
                <w:noProof/>
                <w:webHidden/>
              </w:rPr>
              <w:fldChar w:fldCharType="end"/>
            </w:r>
          </w:hyperlink>
        </w:p>
        <w:p w14:paraId="0A120C94" w14:textId="38C95922" w:rsidR="0075505C" w:rsidRDefault="00AD0DA4">
          <w:pPr>
            <w:pStyle w:val="Obsah1"/>
            <w:rPr>
              <w:noProof/>
              <w:lang w:eastAsia="cs-CZ"/>
            </w:rPr>
          </w:pPr>
          <w:hyperlink w:anchor="_Toc83296716" w:history="1">
            <w:r w:rsidR="0075505C" w:rsidRPr="00141A0F">
              <w:rPr>
                <w:rStyle w:val="Hypertextovodkaz"/>
                <w:noProof/>
              </w:rPr>
              <w:t>2</w:t>
            </w:r>
            <w:r w:rsidR="0075505C">
              <w:rPr>
                <w:noProof/>
                <w:lang w:eastAsia="cs-CZ"/>
              </w:rPr>
              <w:tab/>
            </w:r>
            <w:r w:rsidR="0075505C" w:rsidRPr="00141A0F">
              <w:rPr>
                <w:rStyle w:val="Hypertextovodkaz"/>
                <w:noProof/>
              </w:rPr>
              <w:t>Poslání a odůvodnění programu</w:t>
            </w:r>
            <w:r w:rsidR="0075505C">
              <w:rPr>
                <w:noProof/>
                <w:webHidden/>
              </w:rPr>
              <w:tab/>
            </w:r>
            <w:r w:rsidR="0075505C">
              <w:rPr>
                <w:noProof/>
                <w:webHidden/>
              </w:rPr>
              <w:fldChar w:fldCharType="begin"/>
            </w:r>
            <w:r w:rsidR="0075505C">
              <w:rPr>
                <w:noProof/>
                <w:webHidden/>
              </w:rPr>
              <w:instrText xml:space="preserve"> PAGEREF _Toc83296716 \h </w:instrText>
            </w:r>
            <w:r w:rsidR="0075505C">
              <w:rPr>
                <w:noProof/>
                <w:webHidden/>
              </w:rPr>
            </w:r>
            <w:r w:rsidR="0075505C">
              <w:rPr>
                <w:noProof/>
                <w:webHidden/>
              </w:rPr>
              <w:fldChar w:fldCharType="separate"/>
            </w:r>
            <w:r w:rsidR="007D3CE5">
              <w:rPr>
                <w:noProof/>
                <w:webHidden/>
              </w:rPr>
              <w:t>5</w:t>
            </w:r>
            <w:r w:rsidR="0075505C">
              <w:rPr>
                <w:noProof/>
                <w:webHidden/>
              </w:rPr>
              <w:fldChar w:fldCharType="end"/>
            </w:r>
          </w:hyperlink>
        </w:p>
        <w:p w14:paraId="71794D33" w14:textId="27A2B207" w:rsidR="0075505C" w:rsidRDefault="00AD0DA4">
          <w:pPr>
            <w:pStyle w:val="Obsah2"/>
            <w:tabs>
              <w:tab w:val="left" w:pos="880"/>
            </w:tabs>
            <w:rPr>
              <w:noProof/>
              <w:lang w:eastAsia="cs-CZ"/>
            </w:rPr>
          </w:pPr>
          <w:hyperlink w:anchor="_Toc83296717" w:history="1">
            <w:r w:rsidR="0075505C" w:rsidRPr="00141A0F">
              <w:rPr>
                <w:rStyle w:val="Hypertextovodkaz"/>
                <w:noProof/>
              </w:rPr>
              <w:t>2.1</w:t>
            </w:r>
            <w:r w:rsidR="0075505C">
              <w:rPr>
                <w:noProof/>
                <w:lang w:eastAsia="cs-CZ"/>
              </w:rPr>
              <w:tab/>
            </w:r>
            <w:r w:rsidR="0075505C" w:rsidRPr="00141A0F">
              <w:rPr>
                <w:rStyle w:val="Hypertextovodkaz"/>
                <w:noProof/>
              </w:rPr>
              <w:t>Poslání programu</w:t>
            </w:r>
            <w:r w:rsidR="0075505C">
              <w:rPr>
                <w:noProof/>
                <w:webHidden/>
              </w:rPr>
              <w:tab/>
            </w:r>
            <w:r w:rsidR="0075505C">
              <w:rPr>
                <w:noProof/>
                <w:webHidden/>
              </w:rPr>
              <w:fldChar w:fldCharType="begin"/>
            </w:r>
            <w:r w:rsidR="0075505C">
              <w:rPr>
                <w:noProof/>
                <w:webHidden/>
              </w:rPr>
              <w:instrText xml:space="preserve"> PAGEREF _Toc83296717 \h </w:instrText>
            </w:r>
            <w:r w:rsidR="0075505C">
              <w:rPr>
                <w:noProof/>
                <w:webHidden/>
              </w:rPr>
            </w:r>
            <w:r w:rsidR="0075505C">
              <w:rPr>
                <w:noProof/>
                <w:webHidden/>
              </w:rPr>
              <w:fldChar w:fldCharType="separate"/>
            </w:r>
            <w:r w:rsidR="007D3CE5">
              <w:rPr>
                <w:noProof/>
                <w:webHidden/>
              </w:rPr>
              <w:t>5</w:t>
            </w:r>
            <w:r w:rsidR="0075505C">
              <w:rPr>
                <w:noProof/>
                <w:webHidden/>
              </w:rPr>
              <w:fldChar w:fldCharType="end"/>
            </w:r>
          </w:hyperlink>
        </w:p>
        <w:p w14:paraId="5593A0A4" w14:textId="08A51433" w:rsidR="0075505C" w:rsidRDefault="00AD0DA4">
          <w:pPr>
            <w:pStyle w:val="Obsah2"/>
            <w:tabs>
              <w:tab w:val="left" w:pos="880"/>
            </w:tabs>
            <w:rPr>
              <w:noProof/>
              <w:lang w:eastAsia="cs-CZ"/>
            </w:rPr>
          </w:pPr>
          <w:hyperlink w:anchor="_Toc83296718" w:history="1">
            <w:r w:rsidR="0075505C" w:rsidRPr="00141A0F">
              <w:rPr>
                <w:rStyle w:val="Hypertextovodkaz"/>
                <w:noProof/>
              </w:rPr>
              <w:t>2.2</w:t>
            </w:r>
            <w:r w:rsidR="0075505C">
              <w:rPr>
                <w:noProof/>
                <w:lang w:eastAsia="cs-CZ"/>
              </w:rPr>
              <w:tab/>
            </w:r>
            <w:r w:rsidR="0075505C" w:rsidRPr="00141A0F">
              <w:rPr>
                <w:rStyle w:val="Hypertextovodkaz"/>
                <w:noProof/>
              </w:rPr>
              <w:t>Pozice</w:t>
            </w:r>
            <w:r w:rsidR="0075505C" w:rsidRPr="00141A0F">
              <w:rPr>
                <w:rStyle w:val="Hypertextovodkaz"/>
                <w:rFonts w:eastAsia="Calibri-OneByteIdentityH"/>
                <w:noProof/>
              </w:rPr>
              <w:t xml:space="preserve"> Programu v portfoliu programových nástrojů Ministerstva vnitra</w:t>
            </w:r>
            <w:r w:rsidR="0075505C">
              <w:rPr>
                <w:noProof/>
                <w:webHidden/>
              </w:rPr>
              <w:tab/>
            </w:r>
            <w:r w:rsidR="0075505C">
              <w:rPr>
                <w:noProof/>
                <w:webHidden/>
              </w:rPr>
              <w:fldChar w:fldCharType="begin"/>
            </w:r>
            <w:r w:rsidR="0075505C">
              <w:rPr>
                <w:noProof/>
                <w:webHidden/>
              </w:rPr>
              <w:instrText xml:space="preserve"> PAGEREF _Toc83296718 \h </w:instrText>
            </w:r>
            <w:r w:rsidR="0075505C">
              <w:rPr>
                <w:noProof/>
                <w:webHidden/>
              </w:rPr>
            </w:r>
            <w:r w:rsidR="0075505C">
              <w:rPr>
                <w:noProof/>
                <w:webHidden/>
              </w:rPr>
              <w:fldChar w:fldCharType="separate"/>
            </w:r>
            <w:r w:rsidR="007D3CE5">
              <w:rPr>
                <w:noProof/>
                <w:webHidden/>
              </w:rPr>
              <w:t>6</w:t>
            </w:r>
            <w:r w:rsidR="0075505C">
              <w:rPr>
                <w:noProof/>
                <w:webHidden/>
              </w:rPr>
              <w:fldChar w:fldCharType="end"/>
            </w:r>
          </w:hyperlink>
        </w:p>
        <w:p w14:paraId="1B869FB4" w14:textId="5C53DB92" w:rsidR="0075505C" w:rsidRDefault="00AD0DA4">
          <w:pPr>
            <w:pStyle w:val="Obsah2"/>
            <w:tabs>
              <w:tab w:val="left" w:pos="880"/>
            </w:tabs>
            <w:rPr>
              <w:noProof/>
              <w:lang w:eastAsia="cs-CZ"/>
            </w:rPr>
          </w:pPr>
          <w:hyperlink w:anchor="_Toc83296719" w:history="1">
            <w:r w:rsidR="0075505C" w:rsidRPr="00141A0F">
              <w:rPr>
                <w:rStyle w:val="Hypertextovodkaz"/>
                <w:noProof/>
              </w:rPr>
              <w:t>2.3</w:t>
            </w:r>
            <w:r w:rsidR="0075505C">
              <w:rPr>
                <w:noProof/>
                <w:lang w:eastAsia="cs-CZ"/>
              </w:rPr>
              <w:tab/>
            </w:r>
            <w:r w:rsidR="0075505C" w:rsidRPr="00141A0F">
              <w:rPr>
                <w:rStyle w:val="Hypertextovodkaz"/>
                <w:noProof/>
              </w:rPr>
              <w:t>Vazba na opatření strategických dokumentů politiky výzkumu, vývoje a inovací</w:t>
            </w:r>
            <w:r w:rsidR="0075505C">
              <w:rPr>
                <w:noProof/>
                <w:webHidden/>
              </w:rPr>
              <w:tab/>
            </w:r>
            <w:r w:rsidR="0075505C">
              <w:rPr>
                <w:noProof/>
                <w:webHidden/>
              </w:rPr>
              <w:fldChar w:fldCharType="begin"/>
            </w:r>
            <w:r w:rsidR="0075505C">
              <w:rPr>
                <w:noProof/>
                <w:webHidden/>
              </w:rPr>
              <w:instrText xml:space="preserve"> PAGEREF _Toc83296719 \h </w:instrText>
            </w:r>
            <w:r w:rsidR="0075505C">
              <w:rPr>
                <w:noProof/>
                <w:webHidden/>
              </w:rPr>
            </w:r>
            <w:r w:rsidR="0075505C">
              <w:rPr>
                <w:noProof/>
                <w:webHidden/>
              </w:rPr>
              <w:fldChar w:fldCharType="separate"/>
            </w:r>
            <w:r w:rsidR="007D3CE5">
              <w:rPr>
                <w:noProof/>
                <w:webHidden/>
              </w:rPr>
              <w:t>8</w:t>
            </w:r>
            <w:r w:rsidR="0075505C">
              <w:rPr>
                <w:noProof/>
                <w:webHidden/>
              </w:rPr>
              <w:fldChar w:fldCharType="end"/>
            </w:r>
          </w:hyperlink>
        </w:p>
        <w:p w14:paraId="16A973FE" w14:textId="54FF2F05" w:rsidR="0075505C" w:rsidRDefault="00AD0DA4">
          <w:pPr>
            <w:pStyle w:val="Obsah3"/>
            <w:tabs>
              <w:tab w:val="left" w:pos="1320"/>
              <w:tab w:val="right" w:leader="dot" w:pos="9062"/>
            </w:tabs>
            <w:rPr>
              <w:noProof/>
              <w:lang w:eastAsia="cs-CZ"/>
            </w:rPr>
          </w:pPr>
          <w:hyperlink w:anchor="_Toc83296720" w:history="1">
            <w:r w:rsidR="0075505C" w:rsidRPr="00141A0F">
              <w:rPr>
                <w:rStyle w:val="Hypertextovodkaz"/>
                <w:noProof/>
              </w:rPr>
              <w:t>2.3.1</w:t>
            </w:r>
            <w:r w:rsidR="0075505C">
              <w:rPr>
                <w:noProof/>
                <w:lang w:eastAsia="cs-CZ"/>
              </w:rPr>
              <w:tab/>
            </w:r>
            <w:r w:rsidR="0075505C" w:rsidRPr="00141A0F">
              <w:rPr>
                <w:rStyle w:val="Hypertextovodkaz"/>
                <w:noProof/>
              </w:rPr>
              <w:t>Národní politika výzkumu, vývoje a inovací</w:t>
            </w:r>
            <w:r w:rsidR="0075505C">
              <w:rPr>
                <w:noProof/>
                <w:webHidden/>
              </w:rPr>
              <w:tab/>
            </w:r>
            <w:r w:rsidR="0075505C">
              <w:rPr>
                <w:noProof/>
                <w:webHidden/>
              </w:rPr>
              <w:fldChar w:fldCharType="begin"/>
            </w:r>
            <w:r w:rsidR="0075505C">
              <w:rPr>
                <w:noProof/>
                <w:webHidden/>
              </w:rPr>
              <w:instrText xml:space="preserve"> PAGEREF _Toc83296720 \h </w:instrText>
            </w:r>
            <w:r w:rsidR="0075505C">
              <w:rPr>
                <w:noProof/>
                <w:webHidden/>
              </w:rPr>
            </w:r>
            <w:r w:rsidR="0075505C">
              <w:rPr>
                <w:noProof/>
                <w:webHidden/>
              </w:rPr>
              <w:fldChar w:fldCharType="separate"/>
            </w:r>
            <w:r w:rsidR="007D3CE5">
              <w:rPr>
                <w:noProof/>
                <w:webHidden/>
              </w:rPr>
              <w:t>8</w:t>
            </w:r>
            <w:r w:rsidR="0075505C">
              <w:rPr>
                <w:noProof/>
                <w:webHidden/>
              </w:rPr>
              <w:fldChar w:fldCharType="end"/>
            </w:r>
          </w:hyperlink>
        </w:p>
        <w:p w14:paraId="7DD38234" w14:textId="11FE9928" w:rsidR="0075505C" w:rsidRDefault="00AD0DA4">
          <w:pPr>
            <w:pStyle w:val="Obsah3"/>
            <w:tabs>
              <w:tab w:val="left" w:pos="1320"/>
              <w:tab w:val="right" w:leader="dot" w:pos="9062"/>
            </w:tabs>
            <w:rPr>
              <w:noProof/>
              <w:lang w:eastAsia="cs-CZ"/>
            </w:rPr>
          </w:pPr>
          <w:hyperlink w:anchor="_Toc83296721" w:history="1">
            <w:r w:rsidR="0075505C" w:rsidRPr="00141A0F">
              <w:rPr>
                <w:rStyle w:val="Hypertextovodkaz"/>
                <w:noProof/>
              </w:rPr>
              <w:t>2.3.2</w:t>
            </w:r>
            <w:r w:rsidR="0075505C">
              <w:rPr>
                <w:noProof/>
                <w:lang w:eastAsia="cs-CZ"/>
              </w:rPr>
              <w:tab/>
            </w:r>
            <w:r w:rsidR="0075505C" w:rsidRPr="00141A0F">
              <w:rPr>
                <w:rStyle w:val="Hypertextovodkaz"/>
                <w:noProof/>
              </w:rPr>
              <w:t>Inovační strategie</w:t>
            </w:r>
            <w:r w:rsidR="0075505C">
              <w:rPr>
                <w:noProof/>
                <w:webHidden/>
              </w:rPr>
              <w:tab/>
            </w:r>
            <w:r w:rsidR="0075505C">
              <w:rPr>
                <w:noProof/>
                <w:webHidden/>
              </w:rPr>
              <w:fldChar w:fldCharType="begin"/>
            </w:r>
            <w:r w:rsidR="0075505C">
              <w:rPr>
                <w:noProof/>
                <w:webHidden/>
              </w:rPr>
              <w:instrText xml:space="preserve"> PAGEREF _Toc83296721 \h </w:instrText>
            </w:r>
            <w:r w:rsidR="0075505C">
              <w:rPr>
                <w:noProof/>
                <w:webHidden/>
              </w:rPr>
            </w:r>
            <w:r w:rsidR="0075505C">
              <w:rPr>
                <w:noProof/>
                <w:webHidden/>
              </w:rPr>
              <w:fldChar w:fldCharType="separate"/>
            </w:r>
            <w:r w:rsidR="007D3CE5">
              <w:rPr>
                <w:noProof/>
                <w:webHidden/>
              </w:rPr>
              <w:t>8</w:t>
            </w:r>
            <w:r w:rsidR="0075505C">
              <w:rPr>
                <w:noProof/>
                <w:webHidden/>
              </w:rPr>
              <w:fldChar w:fldCharType="end"/>
            </w:r>
          </w:hyperlink>
        </w:p>
        <w:p w14:paraId="3637082A" w14:textId="3C1BB85B" w:rsidR="0075505C" w:rsidRDefault="00AD0DA4">
          <w:pPr>
            <w:pStyle w:val="Obsah3"/>
            <w:tabs>
              <w:tab w:val="left" w:pos="1320"/>
              <w:tab w:val="right" w:leader="dot" w:pos="9062"/>
            </w:tabs>
            <w:rPr>
              <w:noProof/>
              <w:lang w:eastAsia="cs-CZ"/>
            </w:rPr>
          </w:pPr>
          <w:hyperlink w:anchor="_Toc83296722" w:history="1">
            <w:r w:rsidR="0075505C" w:rsidRPr="00141A0F">
              <w:rPr>
                <w:rStyle w:val="Hypertextovodkaz"/>
                <w:noProof/>
              </w:rPr>
              <w:t>2.3.3</w:t>
            </w:r>
            <w:r w:rsidR="0075505C">
              <w:rPr>
                <w:noProof/>
                <w:lang w:eastAsia="cs-CZ"/>
              </w:rPr>
              <w:tab/>
            </w:r>
            <w:r w:rsidR="0075505C" w:rsidRPr="00141A0F">
              <w:rPr>
                <w:rStyle w:val="Hypertextovodkaz"/>
                <w:noProof/>
              </w:rPr>
              <w:t>Vazba na priority bezpečnostní politiky, RIS3 strategie a Národních priorit orientovaného výzkumu</w:t>
            </w:r>
            <w:r w:rsidR="0075505C">
              <w:rPr>
                <w:noProof/>
                <w:webHidden/>
              </w:rPr>
              <w:tab/>
            </w:r>
            <w:r w:rsidR="0075505C">
              <w:rPr>
                <w:noProof/>
                <w:webHidden/>
              </w:rPr>
              <w:fldChar w:fldCharType="begin"/>
            </w:r>
            <w:r w:rsidR="0075505C">
              <w:rPr>
                <w:noProof/>
                <w:webHidden/>
              </w:rPr>
              <w:instrText xml:space="preserve"> PAGEREF _Toc83296722 \h </w:instrText>
            </w:r>
            <w:r w:rsidR="0075505C">
              <w:rPr>
                <w:noProof/>
                <w:webHidden/>
              </w:rPr>
            </w:r>
            <w:r w:rsidR="0075505C">
              <w:rPr>
                <w:noProof/>
                <w:webHidden/>
              </w:rPr>
              <w:fldChar w:fldCharType="separate"/>
            </w:r>
            <w:r w:rsidR="007D3CE5">
              <w:rPr>
                <w:noProof/>
                <w:webHidden/>
              </w:rPr>
              <w:t>9</w:t>
            </w:r>
            <w:r w:rsidR="0075505C">
              <w:rPr>
                <w:noProof/>
                <w:webHidden/>
              </w:rPr>
              <w:fldChar w:fldCharType="end"/>
            </w:r>
          </w:hyperlink>
        </w:p>
        <w:p w14:paraId="78411616" w14:textId="1B36EC43" w:rsidR="0075505C" w:rsidRDefault="00AD0DA4">
          <w:pPr>
            <w:pStyle w:val="Obsah2"/>
            <w:tabs>
              <w:tab w:val="left" w:pos="880"/>
            </w:tabs>
            <w:rPr>
              <w:noProof/>
              <w:lang w:eastAsia="cs-CZ"/>
            </w:rPr>
          </w:pPr>
          <w:hyperlink w:anchor="_Toc83296723" w:history="1">
            <w:r w:rsidR="0075505C" w:rsidRPr="00141A0F">
              <w:rPr>
                <w:rStyle w:val="Hypertextovodkaz"/>
                <w:noProof/>
              </w:rPr>
              <w:t>2.4</w:t>
            </w:r>
            <w:r w:rsidR="0075505C">
              <w:rPr>
                <w:noProof/>
                <w:lang w:eastAsia="cs-CZ"/>
              </w:rPr>
              <w:tab/>
            </w:r>
            <w:r w:rsidR="0075505C" w:rsidRPr="00141A0F">
              <w:rPr>
                <w:rStyle w:val="Hypertextovodkaz"/>
                <w:noProof/>
              </w:rPr>
              <w:t>Současný stav řešení problematiky bezpečnostního výzkumu v ČR  a v zahraničí</w:t>
            </w:r>
            <w:r w:rsidR="0075505C">
              <w:rPr>
                <w:noProof/>
                <w:webHidden/>
              </w:rPr>
              <w:tab/>
            </w:r>
            <w:r w:rsidR="0075505C">
              <w:rPr>
                <w:noProof/>
                <w:webHidden/>
              </w:rPr>
              <w:fldChar w:fldCharType="begin"/>
            </w:r>
            <w:r w:rsidR="0075505C">
              <w:rPr>
                <w:noProof/>
                <w:webHidden/>
              </w:rPr>
              <w:instrText xml:space="preserve"> PAGEREF _Toc83296723 \h </w:instrText>
            </w:r>
            <w:r w:rsidR="0075505C">
              <w:rPr>
                <w:noProof/>
                <w:webHidden/>
              </w:rPr>
            </w:r>
            <w:r w:rsidR="0075505C">
              <w:rPr>
                <w:noProof/>
                <w:webHidden/>
              </w:rPr>
              <w:fldChar w:fldCharType="separate"/>
            </w:r>
            <w:r w:rsidR="007D3CE5">
              <w:rPr>
                <w:noProof/>
                <w:webHidden/>
              </w:rPr>
              <w:t>10</w:t>
            </w:r>
            <w:r w:rsidR="0075505C">
              <w:rPr>
                <w:noProof/>
                <w:webHidden/>
              </w:rPr>
              <w:fldChar w:fldCharType="end"/>
            </w:r>
          </w:hyperlink>
        </w:p>
        <w:p w14:paraId="73F93A3B" w14:textId="574D0E00" w:rsidR="0075505C" w:rsidRDefault="00AD0DA4">
          <w:pPr>
            <w:pStyle w:val="Obsah1"/>
            <w:rPr>
              <w:noProof/>
              <w:lang w:eastAsia="cs-CZ"/>
            </w:rPr>
          </w:pPr>
          <w:hyperlink w:anchor="_Toc83296724" w:history="1">
            <w:r w:rsidR="0075505C" w:rsidRPr="00141A0F">
              <w:rPr>
                <w:rStyle w:val="Hypertextovodkaz"/>
                <w:noProof/>
              </w:rPr>
              <w:t>3</w:t>
            </w:r>
            <w:r w:rsidR="0075505C">
              <w:rPr>
                <w:noProof/>
                <w:lang w:eastAsia="cs-CZ"/>
              </w:rPr>
              <w:tab/>
            </w:r>
            <w:r w:rsidR="0075505C" w:rsidRPr="00141A0F">
              <w:rPr>
                <w:rStyle w:val="Hypertextovodkaz"/>
                <w:noProof/>
              </w:rPr>
              <w:t>Cíl a přínosy programu</w:t>
            </w:r>
            <w:r w:rsidR="0075505C">
              <w:rPr>
                <w:noProof/>
                <w:webHidden/>
              </w:rPr>
              <w:tab/>
            </w:r>
            <w:r w:rsidR="0075505C">
              <w:rPr>
                <w:noProof/>
                <w:webHidden/>
              </w:rPr>
              <w:fldChar w:fldCharType="begin"/>
            </w:r>
            <w:r w:rsidR="0075505C">
              <w:rPr>
                <w:noProof/>
                <w:webHidden/>
              </w:rPr>
              <w:instrText xml:space="preserve"> PAGEREF _Toc83296724 \h </w:instrText>
            </w:r>
            <w:r w:rsidR="0075505C">
              <w:rPr>
                <w:noProof/>
                <w:webHidden/>
              </w:rPr>
            </w:r>
            <w:r w:rsidR="0075505C">
              <w:rPr>
                <w:noProof/>
                <w:webHidden/>
              </w:rPr>
              <w:fldChar w:fldCharType="separate"/>
            </w:r>
            <w:r w:rsidR="007D3CE5">
              <w:rPr>
                <w:noProof/>
                <w:webHidden/>
              </w:rPr>
              <w:t>12</w:t>
            </w:r>
            <w:r w:rsidR="0075505C">
              <w:rPr>
                <w:noProof/>
                <w:webHidden/>
              </w:rPr>
              <w:fldChar w:fldCharType="end"/>
            </w:r>
          </w:hyperlink>
        </w:p>
        <w:p w14:paraId="3B3BED88" w14:textId="42F6EDB9" w:rsidR="0075505C" w:rsidRDefault="00AD0DA4">
          <w:pPr>
            <w:pStyle w:val="Obsah2"/>
            <w:tabs>
              <w:tab w:val="left" w:pos="880"/>
            </w:tabs>
            <w:rPr>
              <w:noProof/>
              <w:lang w:eastAsia="cs-CZ"/>
            </w:rPr>
          </w:pPr>
          <w:hyperlink w:anchor="_Toc83296725" w:history="1">
            <w:r w:rsidR="0075505C" w:rsidRPr="00141A0F">
              <w:rPr>
                <w:rStyle w:val="Hypertextovodkaz"/>
                <w:noProof/>
              </w:rPr>
              <w:t>3.1</w:t>
            </w:r>
            <w:r w:rsidR="0075505C">
              <w:rPr>
                <w:noProof/>
                <w:lang w:eastAsia="cs-CZ"/>
              </w:rPr>
              <w:tab/>
            </w:r>
            <w:r w:rsidR="0075505C" w:rsidRPr="00141A0F">
              <w:rPr>
                <w:rStyle w:val="Hypertextovodkaz"/>
                <w:noProof/>
              </w:rPr>
              <w:t>Hlavní cíl</w:t>
            </w:r>
            <w:r w:rsidR="0075505C">
              <w:rPr>
                <w:noProof/>
                <w:webHidden/>
              </w:rPr>
              <w:tab/>
            </w:r>
            <w:r w:rsidR="0075505C">
              <w:rPr>
                <w:noProof/>
                <w:webHidden/>
              </w:rPr>
              <w:fldChar w:fldCharType="begin"/>
            </w:r>
            <w:r w:rsidR="0075505C">
              <w:rPr>
                <w:noProof/>
                <w:webHidden/>
              </w:rPr>
              <w:instrText xml:space="preserve"> PAGEREF _Toc83296725 \h </w:instrText>
            </w:r>
            <w:r w:rsidR="0075505C">
              <w:rPr>
                <w:noProof/>
                <w:webHidden/>
              </w:rPr>
            </w:r>
            <w:r w:rsidR="0075505C">
              <w:rPr>
                <w:noProof/>
                <w:webHidden/>
              </w:rPr>
              <w:fldChar w:fldCharType="separate"/>
            </w:r>
            <w:r w:rsidR="007D3CE5">
              <w:rPr>
                <w:noProof/>
                <w:webHidden/>
              </w:rPr>
              <w:t>12</w:t>
            </w:r>
            <w:r w:rsidR="0075505C">
              <w:rPr>
                <w:noProof/>
                <w:webHidden/>
              </w:rPr>
              <w:fldChar w:fldCharType="end"/>
            </w:r>
          </w:hyperlink>
        </w:p>
        <w:p w14:paraId="05145D3E" w14:textId="64B77F69" w:rsidR="0075505C" w:rsidRDefault="00AD0DA4">
          <w:pPr>
            <w:pStyle w:val="Obsah3"/>
            <w:tabs>
              <w:tab w:val="left" w:pos="1320"/>
              <w:tab w:val="right" w:leader="dot" w:pos="9062"/>
            </w:tabs>
            <w:rPr>
              <w:noProof/>
              <w:lang w:eastAsia="cs-CZ"/>
            </w:rPr>
          </w:pPr>
          <w:hyperlink w:anchor="_Toc83296726" w:history="1">
            <w:r w:rsidR="0075505C" w:rsidRPr="00141A0F">
              <w:rPr>
                <w:rStyle w:val="Hypertextovodkaz"/>
                <w:noProof/>
              </w:rPr>
              <w:t>3.1.1</w:t>
            </w:r>
            <w:r w:rsidR="0075505C">
              <w:rPr>
                <w:noProof/>
                <w:lang w:eastAsia="cs-CZ"/>
              </w:rPr>
              <w:tab/>
            </w:r>
            <w:r w:rsidR="0075505C" w:rsidRPr="00141A0F">
              <w:rPr>
                <w:rStyle w:val="Hypertextovodkaz"/>
                <w:noProof/>
              </w:rPr>
              <w:t>Dílčí cíle Programu</w:t>
            </w:r>
            <w:r w:rsidR="0075505C">
              <w:rPr>
                <w:noProof/>
                <w:webHidden/>
              </w:rPr>
              <w:tab/>
            </w:r>
            <w:r w:rsidR="0075505C">
              <w:rPr>
                <w:noProof/>
                <w:webHidden/>
              </w:rPr>
              <w:fldChar w:fldCharType="begin"/>
            </w:r>
            <w:r w:rsidR="0075505C">
              <w:rPr>
                <w:noProof/>
                <w:webHidden/>
              </w:rPr>
              <w:instrText xml:space="preserve"> PAGEREF _Toc83296726 \h </w:instrText>
            </w:r>
            <w:r w:rsidR="0075505C">
              <w:rPr>
                <w:noProof/>
                <w:webHidden/>
              </w:rPr>
            </w:r>
            <w:r w:rsidR="0075505C">
              <w:rPr>
                <w:noProof/>
                <w:webHidden/>
              </w:rPr>
              <w:fldChar w:fldCharType="separate"/>
            </w:r>
            <w:r w:rsidR="007D3CE5">
              <w:rPr>
                <w:noProof/>
                <w:webHidden/>
              </w:rPr>
              <w:t>12</w:t>
            </w:r>
            <w:r w:rsidR="0075505C">
              <w:rPr>
                <w:noProof/>
                <w:webHidden/>
              </w:rPr>
              <w:fldChar w:fldCharType="end"/>
            </w:r>
          </w:hyperlink>
        </w:p>
        <w:p w14:paraId="7949B709" w14:textId="1C09F766" w:rsidR="0075505C" w:rsidRDefault="00AD0DA4">
          <w:pPr>
            <w:pStyle w:val="Obsah2"/>
            <w:tabs>
              <w:tab w:val="left" w:pos="880"/>
            </w:tabs>
            <w:rPr>
              <w:noProof/>
              <w:lang w:eastAsia="cs-CZ"/>
            </w:rPr>
          </w:pPr>
          <w:hyperlink w:anchor="_Toc83296727" w:history="1">
            <w:r w:rsidR="0075505C" w:rsidRPr="00141A0F">
              <w:rPr>
                <w:rStyle w:val="Hypertextovodkaz"/>
                <w:rFonts w:eastAsia="Arial"/>
                <w:noProof/>
              </w:rPr>
              <w:t>3.2</w:t>
            </w:r>
            <w:r w:rsidR="0075505C">
              <w:rPr>
                <w:noProof/>
                <w:lang w:eastAsia="cs-CZ"/>
              </w:rPr>
              <w:tab/>
            </w:r>
            <w:r w:rsidR="0075505C" w:rsidRPr="00141A0F">
              <w:rPr>
                <w:rStyle w:val="Hypertextovodkaz"/>
                <w:rFonts w:eastAsia="Arial"/>
                <w:noProof/>
              </w:rPr>
              <w:t>Očekávané přínosy programu</w:t>
            </w:r>
            <w:r w:rsidR="0075505C">
              <w:rPr>
                <w:noProof/>
                <w:webHidden/>
              </w:rPr>
              <w:tab/>
            </w:r>
            <w:r w:rsidR="0075505C">
              <w:rPr>
                <w:noProof/>
                <w:webHidden/>
              </w:rPr>
              <w:fldChar w:fldCharType="begin"/>
            </w:r>
            <w:r w:rsidR="0075505C">
              <w:rPr>
                <w:noProof/>
                <w:webHidden/>
              </w:rPr>
              <w:instrText xml:space="preserve"> PAGEREF _Toc83296727 \h </w:instrText>
            </w:r>
            <w:r w:rsidR="0075505C">
              <w:rPr>
                <w:noProof/>
                <w:webHidden/>
              </w:rPr>
            </w:r>
            <w:r w:rsidR="0075505C">
              <w:rPr>
                <w:noProof/>
                <w:webHidden/>
              </w:rPr>
              <w:fldChar w:fldCharType="separate"/>
            </w:r>
            <w:r w:rsidR="007D3CE5">
              <w:rPr>
                <w:noProof/>
                <w:webHidden/>
              </w:rPr>
              <w:t>13</w:t>
            </w:r>
            <w:r w:rsidR="0075505C">
              <w:rPr>
                <w:noProof/>
                <w:webHidden/>
              </w:rPr>
              <w:fldChar w:fldCharType="end"/>
            </w:r>
          </w:hyperlink>
        </w:p>
        <w:p w14:paraId="1BFFD839" w14:textId="43FF2BC3" w:rsidR="0075505C" w:rsidRDefault="00AD0DA4">
          <w:pPr>
            <w:pStyle w:val="Obsah1"/>
            <w:rPr>
              <w:noProof/>
              <w:lang w:eastAsia="cs-CZ"/>
            </w:rPr>
          </w:pPr>
          <w:hyperlink w:anchor="_Toc83296728" w:history="1">
            <w:r w:rsidR="0075505C" w:rsidRPr="00141A0F">
              <w:rPr>
                <w:rStyle w:val="Hypertextovodkaz"/>
                <w:noProof/>
              </w:rPr>
              <w:t>4</w:t>
            </w:r>
            <w:r w:rsidR="0075505C">
              <w:rPr>
                <w:noProof/>
                <w:lang w:eastAsia="cs-CZ"/>
              </w:rPr>
              <w:tab/>
            </w:r>
            <w:r w:rsidR="0075505C" w:rsidRPr="00141A0F">
              <w:rPr>
                <w:rStyle w:val="Hypertextovodkaz"/>
                <w:noProof/>
              </w:rPr>
              <w:t>Členění na podprogramy</w:t>
            </w:r>
            <w:r w:rsidR="0075505C">
              <w:rPr>
                <w:noProof/>
                <w:webHidden/>
              </w:rPr>
              <w:tab/>
            </w:r>
            <w:r w:rsidR="0075505C">
              <w:rPr>
                <w:noProof/>
                <w:webHidden/>
              </w:rPr>
              <w:fldChar w:fldCharType="begin"/>
            </w:r>
            <w:r w:rsidR="0075505C">
              <w:rPr>
                <w:noProof/>
                <w:webHidden/>
              </w:rPr>
              <w:instrText xml:space="preserve"> PAGEREF _Toc83296728 \h </w:instrText>
            </w:r>
            <w:r w:rsidR="0075505C">
              <w:rPr>
                <w:noProof/>
                <w:webHidden/>
              </w:rPr>
            </w:r>
            <w:r w:rsidR="0075505C">
              <w:rPr>
                <w:noProof/>
                <w:webHidden/>
              </w:rPr>
              <w:fldChar w:fldCharType="separate"/>
            </w:r>
            <w:r w:rsidR="007D3CE5">
              <w:rPr>
                <w:noProof/>
                <w:webHidden/>
              </w:rPr>
              <w:t>14</w:t>
            </w:r>
            <w:r w:rsidR="0075505C">
              <w:rPr>
                <w:noProof/>
                <w:webHidden/>
              </w:rPr>
              <w:fldChar w:fldCharType="end"/>
            </w:r>
          </w:hyperlink>
        </w:p>
        <w:p w14:paraId="4116B13D" w14:textId="76DAC0FD" w:rsidR="0075505C" w:rsidRDefault="00AD0DA4">
          <w:pPr>
            <w:pStyle w:val="Obsah2"/>
            <w:tabs>
              <w:tab w:val="left" w:pos="880"/>
            </w:tabs>
            <w:rPr>
              <w:noProof/>
              <w:lang w:eastAsia="cs-CZ"/>
            </w:rPr>
          </w:pPr>
          <w:hyperlink w:anchor="_Toc83296729" w:history="1">
            <w:r w:rsidR="0075505C" w:rsidRPr="00141A0F">
              <w:rPr>
                <w:rStyle w:val="Hypertextovodkaz"/>
                <w:noProof/>
              </w:rPr>
              <w:t>4.1</w:t>
            </w:r>
            <w:r w:rsidR="0075505C">
              <w:rPr>
                <w:noProof/>
                <w:lang w:eastAsia="cs-CZ"/>
              </w:rPr>
              <w:tab/>
            </w:r>
            <w:r w:rsidR="0075505C" w:rsidRPr="00141A0F">
              <w:rPr>
                <w:rStyle w:val="Hypertextovodkaz"/>
                <w:noProof/>
              </w:rPr>
              <w:t>Podprogram 1: Rozvoj schopností vymáhání práva</w:t>
            </w:r>
            <w:r w:rsidR="0075505C">
              <w:rPr>
                <w:noProof/>
                <w:webHidden/>
              </w:rPr>
              <w:tab/>
            </w:r>
            <w:r w:rsidR="0075505C">
              <w:rPr>
                <w:noProof/>
                <w:webHidden/>
              </w:rPr>
              <w:fldChar w:fldCharType="begin"/>
            </w:r>
            <w:r w:rsidR="0075505C">
              <w:rPr>
                <w:noProof/>
                <w:webHidden/>
              </w:rPr>
              <w:instrText xml:space="preserve"> PAGEREF _Toc83296729 \h </w:instrText>
            </w:r>
            <w:r w:rsidR="0075505C">
              <w:rPr>
                <w:noProof/>
                <w:webHidden/>
              </w:rPr>
            </w:r>
            <w:r w:rsidR="0075505C">
              <w:rPr>
                <w:noProof/>
                <w:webHidden/>
              </w:rPr>
              <w:fldChar w:fldCharType="separate"/>
            </w:r>
            <w:r w:rsidR="007D3CE5">
              <w:rPr>
                <w:noProof/>
                <w:webHidden/>
              </w:rPr>
              <w:t>14</w:t>
            </w:r>
            <w:r w:rsidR="0075505C">
              <w:rPr>
                <w:noProof/>
                <w:webHidden/>
              </w:rPr>
              <w:fldChar w:fldCharType="end"/>
            </w:r>
          </w:hyperlink>
        </w:p>
        <w:p w14:paraId="1E9A4349" w14:textId="23EE9819" w:rsidR="0075505C" w:rsidRDefault="00AD0DA4">
          <w:pPr>
            <w:pStyle w:val="Obsah3"/>
            <w:tabs>
              <w:tab w:val="left" w:pos="1320"/>
              <w:tab w:val="right" w:leader="dot" w:pos="9062"/>
            </w:tabs>
            <w:rPr>
              <w:noProof/>
              <w:lang w:eastAsia="cs-CZ"/>
            </w:rPr>
          </w:pPr>
          <w:hyperlink w:anchor="_Toc83296730" w:history="1">
            <w:r w:rsidR="0075505C" w:rsidRPr="00141A0F">
              <w:rPr>
                <w:rStyle w:val="Hypertextovodkaz"/>
                <w:noProof/>
              </w:rPr>
              <w:t>4.1.1</w:t>
            </w:r>
            <w:r w:rsidR="0075505C">
              <w:rPr>
                <w:noProof/>
                <w:lang w:eastAsia="cs-CZ"/>
              </w:rPr>
              <w:tab/>
            </w:r>
            <w:r w:rsidR="0075505C" w:rsidRPr="00141A0F">
              <w:rPr>
                <w:rStyle w:val="Hypertextovodkaz"/>
                <w:noProof/>
              </w:rPr>
              <w:t>Očekávané přínosy podprogramu 1</w:t>
            </w:r>
            <w:r w:rsidR="0075505C">
              <w:rPr>
                <w:noProof/>
                <w:webHidden/>
              </w:rPr>
              <w:tab/>
            </w:r>
            <w:r w:rsidR="0075505C">
              <w:rPr>
                <w:noProof/>
                <w:webHidden/>
              </w:rPr>
              <w:fldChar w:fldCharType="begin"/>
            </w:r>
            <w:r w:rsidR="0075505C">
              <w:rPr>
                <w:noProof/>
                <w:webHidden/>
              </w:rPr>
              <w:instrText xml:space="preserve"> PAGEREF _Toc83296730 \h </w:instrText>
            </w:r>
            <w:r w:rsidR="0075505C">
              <w:rPr>
                <w:noProof/>
                <w:webHidden/>
              </w:rPr>
            </w:r>
            <w:r w:rsidR="0075505C">
              <w:rPr>
                <w:noProof/>
                <w:webHidden/>
              </w:rPr>
              <w:fldChar w:fldCharType="separate"/>
            </w:r>
            <w:r w:rsidR="007D3CE5">
              <w:rPr>
                <w:noProof/>
                <w:webHidden/>
              </w:rPr>
              <w:t>14</w:t>
            </w:r>
            <w:r w:rsidR="0075505C">
              <w:rPr>
                <w:noProof/>
                <w:webHidden/>
              </w:rPr>
              <w:fldChar w:fldCharType="end"/>
            </w:r>
          </w:hyperlink>
        </w:p>
        <w:p w14:paraId="1F13FDFF" w14:textId="6D7E0C62" w:rsidR="0075505C" w:rsidRDefault="00AD0DA4">
          <w:pPr>
            <w:pStyle w:val="Obsah3"/>
            <w:tabs>
              <w:tab w:val="left" w:pos="1320"/>
              <w:tab w:val="right" w:leader="dot" w:pos="9062"/>
            </w:tabs>
            <w:rPr>
              <w:noProof/>
              <w:lang w:eastAsia="cs-CZ"/>
            </w:rPr>
          </w:pPr>
          <w:hyperlink w:anchor="_Toc83296731" w:history="1">
            <w:r w:rsidR="0075505C" w:rsidRPr="00141A0F">
              <w:rPr>
                <w:rStyle w:val="Hypertextovodkaz"/>
                <w:noProof/>
              </w:rPr>
              <w:t>4.1.2</w:t>
            </w:r>
            <w:r w:rsidR="0075505C">
              <w:rPr>
                <w:noProof/>
                <w:lang w:eastAsia="cs-CZ"/>
              </w:rPr>
              <w:tab/>
            </w:r>
            <w:r w:rsidR="0075505C" w:rsidRPr="00141A0F">
              <w:rPr>
                <w:rStyle w:val="Hypertextovodkaz"/>
                <w:noProof/>
              </w:rPr>
              <w:t>Cíle a zaměření podprogramu 1</w:t>
            </w:r>
            <w:r w:rsidR="0075505C">
              <w:rPr>
                <w:noProof/>
                <w:webHidden/>
              </w:rPr>
              <w:tab/>
            </w:r>
            <w:r w:rsidR="0075505C">
              <w:rPr>
                <w:noProof/>
                <w:webHidden/>
              </w:rPr>
              <w:fldChar w:fldCharType="begin"/>
            </w:r>
            <w:r w:rsidR="0075505C">
              <w:rPr>
                <w:noProof/>
                <w:webHidden/>
              </w:rPr>
              <w:instrText xml:space="preserve"> PAGEREF _Toc83296731 \h </w:instrText>
            </w:r>
            <w:r w:rsidR="0075505C">
              <w:rPr>
                <w:noProof/>
                <w:webHidden/>
              </w:rPr>
            </w:r>
            <w:r w:rsidR="0075505C">
              <w:rPr>
                <w:noProof/>
                <w:webHidden/>
              </w:rPr>
              <w:fldChar w:fldCharType="separate"/>
            </w:r>
            <w:r w:rsidR="007D3CE5">
              <w:rPr>
                <w:noProof/>
                <w:webHidden/>
              </w:rPr>
              <w:t>14</w:t>
            </w:r>
            <w:r w:rsidR="0075505C">
              <w:rPr>
                <w:noProof/>
                <w:webHidden/>
              </w:rPr>
              <w:fldChar w:fldCharType="end"/>
            </w:r>
          </w:hyperlink>
        </w:p>
        <w:p w14:paraId="5D03D522" w14:textId="0A537566" w:rsidR="0075505C" w:rsidRDefault="00AD0DA4">
          <w:pPr>
            <w:pStyle w:val="Obsah3"/>
            <w:tabs>
              <w:tab w:val="left" w:pos="1320"/>
              <w:tab w:val="right" w:leader="dot" w:pos="9062"/>
            </w:tabs>
            <w:rPr>
              <w:noProof/>
              <w:lang w:eastAsia="cs-CZ"/>
            </w:rPr>
          </w:pPr>
          <w:hyperlink w:anchor="_Toc83296732" w:history="1">
            <w:r w:rsidR="0075505C" w:rsidRPr="00141A0F">
              <w:rPr>
                <w:rStyle w:val="Hypertextovodkaz"/>
                <w:noProof/>
              </w:rPr>
              <w:t>4.1.3</w:t>
            </w:r>
            <w:r w:rsidR="0075505C">
              <w:rPr>
                <w:noProof/>
                <w:lang w:eastAsia="cs-CZ"/>
              </w:rPr>
              <w:tab/>
            </w:r>
            <w:r w:rsidR="0075505C" w:rsidRPr="00141A0F">
              <w:rPr>
                <w:rStyle w:val="Hypertextovodkaz"/>
                <w:noProof/>
              </w:rPr>
              <w:t>Finanční alokace na podprogram 1</w:t>
            </w:r>
            <w:r w:rsidR="0075505C">
              <w:rPr>
                <w:noProof/>
                <w:webHidden/>
              </w:rPr>
              <w:tab/>
            </w:r>
            <w:r w:rsidR="0075505C">
              <w:rPr>
                <w:noProof/>
                <w:webHidden/>
              </w:rPr>
              <w:fldChar w:fldCharType="begin"/>
            </w:r>
            <w:r w:rsidR="0075505C">
              <w:rPr>
                <w:noProof/>
                <w:webHidden/>
              </w:rPr>
              <w:instrText xml:space="preserve"> PAGEREF _Toc83296732 \h </w:instrText>
            </w:r>
            <w:r w:rsidR="0075505C">
              <w:rPr>
                <w:noProof/>
                <w:webHidden/>
              </w:rPr>
            </w:r>
            <w:r w:rsidR="0075505C">
              <w:rPr>
                <w:noProof/>
                <w:webHidden/>
              </w:rPr>
              <w:fldChar w:fldCharType="separate"/>
            </w:r>
            <w:r w:rsidR="007D3CE5">
              <w:rPr>
                <w:noProof/>
                <w:webHidden/>
              </w:rPr>
              <w:t>14</w:t>
            </w:r>
            <w:r w:rsidR="0075505C">
              <w:rPr>
                <w:noProof/>
                <w:webHidden/>
              </w:rPr>
              <w:fldChar w:fldCharType="end"/>
            </w:r>
          </w:hyperlink>
        </w:p>
        <w:p w14:paraId="77146DB6" w14:textId="1E6345DE" w:rsidR="0075505C" w:rsidRDefault="00AD0DA4">
          <w:pPr>
            <w:pStyle w:val="Obsah2"/>
            <w:tabs>
              <w:tab w:val="left" w:pos="880"/>
            </w:tabs>
            <w:rPr>
              <w:noProof/>
              <w:lang w:eastAsia="cs-CZ"/>
            </w:rPr>
          </w:pPr>
          <w:hyperlink w:anchor="_Toc83296733" w:history="1">
            <w:r w:rsidR="0075505C" w:rsidRPr="00141A0F">
              <w:rPr>
                <w:rStyle w:val="Hypertextovodkaz"/>
                <w:noProof/>
              </w:rPr>
              <w:t>4.2</w:t>
            </w:r>
            <w:r w:rsidR="0075505C">
              <w:rPr>
                <w:noProof/>
                <w:lang w:eastAsia="cs-CZ"/>
              </w:rPr>
              <w:tab/>
            </w:r>
            <w:r w:rsidR="0075505C" w:rsidRPr="00141A0F">
              <w:rPr>
                <w:rStyle w:val="Hypertextovodkaz"/>
                <w:noProof/>
              </w:rPr>
              <w:t>Podprogram 2: Krizová připravenost bezpečnostních a záchranných sborů</w:t>
            </w:r>
            <w:r w:rsidR="0075505C">
              <w:rPr>
                <w:noProof/>
                <w:webHidden/>
              </w:rPr>
              <w:tab/>
            </w:r>
            <w:r w:rsidR="0075505C">
              <w:rPr>
                <w:noProof/>
                <w:webHidden/>
              </w:rPr>
              <w:fldChar w:fldCharType="begin"/>
            </w:r>
            <w:r w:rsidR="0075505C">
              <w:rPr>
                <w:noProof/>
                <w:webHidden/>
              </w:rPr>
              <w:instrText xml:space="preserve"> PAGEREF _Toc83296733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65C1E2B0" w14:textId="6CE0580F" w:rsidR="0075505C" w:rsidRDefault="00AD0DA4">
          <w:pPr>
            <w:pStyle w:val="Obsah3"/>
            <w:tabs>
              <w:tab w:val="left" w:pos="1320"/>
              <w:tab w:val="right" w:leader="dot" w:pos="9062"/>
            </w:tabs>
            <w:rPr>
              <w:noProof/>
              <w:lang w:eastAsia="cs-CZ"/>
            </w:rPr>
          </w:pPr>
          <w:hyperlink w:anchor="_Toc83296734" w:history="1">
            <w:r w:rsidR="0075505C" w:rsidRPr="00141A0F">
              <w:rPr>
                <w:rStyle w:val="Hypertextovodkaz"/>
                <w:noProof/>
              </w:rPr>
              <w:t>4.2.1</w:t>
            </w:r>
            <w:r w:rsidR="0075505C">
              <w:rPr>
                <w:noProof/>
                <w:lang w:eastAsia="cs-CZ"/>
              </w:rPr>
              <w:tab/>
            </w:r>
            <w:r w:rsidR="0075505C" w:rsidRPr="00141A0F">
              <w:rPr>
                <w:rStyle w:val="Hypertextovodkaz"/>
                <w:noProof/>
              </w:rPr>
              <w:t>Očekávané přínosy podprogramu 2</w:t>
            </w:r>
            <w:r w:rsidR="0075505C">
              <w:rPr>
                <w:noProof/>
                <w:webHidden/>
              </w:rPr>
              <w:tab/>
            </w:r>
            <w:r w:rsidR="0075505C">
              <w:rPr>
                <w:noProof/>
                <w:webHidden/>
              </w:rPr>
              <w:fldChar w:fldCharType="begin"/>
            </w:r>
            <w:r w:rsidR="0075505C">
              <w:rPr>
                <w:noProof/>
                <w:webHidden/>
              </w:rPr>
              <w:instrText xml:space="preserve"> PAGEREF _Toc83296734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5A2278A4" w14:textId="43D4321F" w:rsidR="0075505C" w:rsidRDefault="00AD0DA4">
          <w:pPr>
            <w:pStyle w:val="Obsah3"/>
            <w:tabs>
              <w:tab w:val="left" w:pos="1320"/>
              <w:tab w:val="right" w:leader="dot" w:pos="9062"/>
            </w:tabs>
            <w:rPr>
              <w:noProof/>
              <w:lang w:eastAsia="cs-CZ"/>
            </w:rPr>
          </w:pPr>
          <w:hyperlink w:anchor="_Toc83296735" w:history="1">
            <w:r w:rsidR="0075505C" w:rsidRPr="00141A0F">
              <w:rPr>
                <w:rStyle w:val="Hypertextovodkaz"/>
                <w:noProof/>
              </w:rPr>
              <w:t>4.2.2</w:t>
            </w:r>
            <w:r w:rsidR="0075505C">
              <w:rPr>
                <w:noProof/>
                <w:lang w:eastAsia="cs-CZ"/>
              </w:rPr>
              <w:tab/>
            </w:r>
            <w:r w:rsidR="0075505C" w:rsidRPr="00141A0F">
              <w:rPr>
                <w:rStyle w:val="Hypertextovodkaz"/>
                <w:noProof/>
              </w:rPr>
              <w:t>Cíle a zaměření podprogramu 2</w:t>
            </w:r>
            <w:r w:rsidR="0075505C">
              <w:rPr>
                <w:noProof/>
                <w:webHidden/>
              </w:rPr>
              <w:tab/>
            </w:r>
            <w:r w:rsidR="0075505C">
              <w:rPr>
                <w:noProof/>
                <w:webHidden/>
              </w:rPr>
              <w:fldChar w:fldCharType="begin"/>
            </w:r>
            <w:r w:rsidR="0075505C">
              <w:rPr>
                <w:noProof/>
                <w:webHidden/>
              </w:rPr>
              <w:instrText xml:space="preserve"> PAGEREF _Toc83296735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777B0B55" w14:textId="063801EC" w:rsidR="0075505C" w:rsidRDefault="00AD0DA4">
          <w:pPr>
            <w:pStyle w:val="Obsah3"/>
            <w:tabs>
              <w:tab w:val="left" w:pos="1320"/>
              <w:tab w:val="right" w:leader="dot" w:pos="9062"/>
            </w:tabs>
            <w:rPr>
              <w:noProof/>
              <w:lang w:eastAsia="cs-CZ"/>
            </w:rPr>
          </w:pPr>
          <w:hyperlink w:anchor="_Toc83296736" w:history="1">
            <w:r w:rsidR="0075505C" w:rsidRPr="00141A0F">
              <w:rPr>
                <w:rStyle w:val="Hypertextovodkaz"/>
                <w:noProof/>
              </w:rPr>
              <w:t>4.2.3</w:t>
            </w:r>
            <w:r w:rsidR="0075505C">
              <w:rPr>
                <w:noProof/>
                <w:lang w:eastAsia="cs-CZ"/>
              </w:rPr>
              <w:tab/>
            </w:r>
            <w:r w:rsidR="0075505C" w:rsidRPr="00141A0F">
              <w:rPr>
                <w:rStyle w:val="Hypertextovodkaz"/>
                <w:noProof/>
              </w:rPr>
              <w:t>Finanční alokace na podprogram 2</w:t>
            </w:r>
            <w:r w:rsidR="0075505C">
              <w:rPr>
                <w:noProof/>
                <w:webHidden/>
              </w:rPr>
              <w:tab/>
            </w:r>
            <w:r w:rsidR="0075505C">
              <w:rPr>
                <w:noProof/>
                <w:webHidden/>
              </w:rPr>
              <w:fldChar w:fldCharType="begin"/>
            </w:r>
            <w:r w:rsidR="0075505C">
              <w:rPr>
                <w:noProof/>
                <w:webHidden/>
              </w:rPr>
              <w:instrText xml:space="preserve"> PAGEREF _Toc83296736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466EC153" w14:textId="4906825B" w:rsidR="0075505C" w:rsidRDefault="00AD0DA4">
          <w:pPr>
            <w:pStyle w:val="Obsah2"/>
            <w:tabs>
              <w:tab w:val="left" w:pos="880"/>
            </w:tabs>
            <w:rPr>
              <w:noProof/>
              <w:lang w:eastAsia="cs-CZ"/>
            </w:rPr>
          </w:pPr>
          <w:hyperlink w:anchor="_Toc83296737" w:history="1">
            <w:r w:rsidR="0075505C" w:rsidRPr="00141A0F">
              <w:rPr>
                <w:rStyle w:val="Hypertextovodkaz"/>
                <w:noProof/>
              </w:rPr>
              <w:t>4.3</w:t>
            </w:r>
            <w:r w:rsidR="0075505C">
              <w:rPr>
                <w:noProof/>
                <w:lang w:eastAsia="cs-CZ"/>
              </w:rPr>
              <w:tab/>
            </w:r>
            <w:r w:rsidR="0075505C" w:rsidRPr="00141A0F">
              <w:rPr>
                <w:rStyle w:val="Hypertextovodkaz"/>
                <w:noProof/>
              </w:rPr>
              <w:t>Podprogram 3: Odolná společnost</w:t>
            </w:r>
            <w:r w:rsidR="0075505C">
              <w:rPr>
                <w:noProof/>
                <w:webHidden/>
              </w:rPr>
              <w:tab/>
            </w:r>
            <w:r w:rsidR="0075505C">
              <w:rPr>
                <w:noProof/>
                <w:webHidden/>
              </w:rPr>
              <w:fldChar w:fldCharType="begin"/>
            </w:r>
            <w:r w:rsidR="0075505C">
              <w:rPr>
                <w:noProof/>
                <w:webHidden/>
              </w:rPr>
              <w:instrText xml:space="preserve"> PAGEREF _Toc83296737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21FB7A53" w14:textId="4C96DBD0" w:rsidR="0075505C" w:rsidRDefault="00AD0DA4">
          <w:pPr>
            <w:pStyle w:val="Obsah3"/>
            <w:tabs>
              <w:tab w:val="left" w:pos="1320"/>
              <w:tab w:val="right" w:leader="dot" w:pos="9062"/>
            </w:tabs>
            <w:rPr>
              <w:noProof/>
              <w:lang w:eastAsia="cs-CZ"/>
            </w:rPr>
          </w:pPr>
          <w:hyperlink w:anchor="_Toc83296738" w:history="1">
            <w:r w:rsidR="0075505C" w:rsidRPr="00141A0F">
              <w:rPr>
                <w:rStyle w:val="Hypertextovodkaz"/>
                <w:noProof/>
              </w:rPr>
              <w:t>4.3.1</w:t>
            </w:r>
            <w:r w:rsidR="0075505C">
              <w:rPr>
                <w:noProof/>
                <w:lang w:eastAsia="cs-CZ"/>
              </w:rPr>
              <w:tab/>
            </w:r>
            <w:r w:rsidR="0075505C" w:rsidRPr="00141A0F">
              <w:rPr>
                <w:rStyle w:val="Hypertextovodkaz"/>
                <w:noProof/>
              </w:rPr>
              <w:t>Očekávané přínosy podprogramu 3</w:t>
            </w:r>
            <w:r w:rsidR="0075505C">
              <w:rPr>
                <w:noProof/>
                <w:webHidden/>
              </w:rPr>
              <w:tab/>
            </w:r>
            <w:r w:rsidR="0075505C">
              <w:rPr>
                <w:noProof/>
                <w:webHidden/>
              </w:rPr>
              <w:fldChar w:fldCharType="begin"/>
            </w:r>
            <w:r w:rsidR="0075505C">
              <w:rPr>
                <w:noProof/>
                <w:webHidden/>
              </w:rPr>
              <w:instrText xml:space="preserve"> PAGEREF _Toc83296738 \h </w:instrText>
            </w:r>
            <w:r w:rsidR="0075505C">
              <w:rPr>
                <w:noProof/>
                <w:webHidden/>
              </w:rPr>
            </w:r>
            <w:r w:rsidR="0075505C">
              <w:rPr>
                <w:noProof/>
                <w:webHidden/>
              </w:rPr>
              <w:fldChar w:fldCharType="separate"/>
            </w:r>
            <w:r w:rsidR="007D3CE5">
              <w:rPr>
                <w:noProof/>
                <w:webHidden/>
              </w:rPr>
              <w:t>15</w:t>
            </w:r>
            <w:r w:rsidR="0075505C">
              <w:rPr>
                <w:noProof/>
                <w:webHidden/>
              </w:rPr>
              <w:fldChar w:fldCharType="end"/>
            </w:r>
          </w:hyperlink>
        </w:p>
        <w:p w14:paraId="47908E94" w14:textId="2748EF69" w:rsidR="0075505C" w:rsidRDefault="00AD0DA4">
          <w:pPr>
            <w:pStyle w:val="Obsah3"/>
            <w:tabs>
              <w:tab w:val="left" w:pos="1320"/>
              <w:tab w:val="right" w:leader="dot" w:pos="9062"/>
            </w:tabs>
            <w:rPr>
              <w:noProof/>
              <w:lang w:eastAsia="cs-CZ"/>
            </w:rPr>
          </w:pPr>
          <w:hyperlink w:anchor="_Toc83296739" w:history="1">
            <w:r w:rsidR="0075505C" w:rsidRPr="00141A0F">
              <w:rPr>
                <w:rStyle w:val="Hypertextovodkaz"/>
                <w:noProof/>
              </w:rPr>
              <w:t>4.3.2</w:t>
            </w:r>
            <w:r w:rsidR="0075505C">
              <w:rPr>
                <w:noProof/>
                <w:lang w:eastAsia="cs-CZ"/>
              </w:rPr>
              <w:tab/>
            </w:r>
            <w:r w:rsidR="0075505C" w:rsidRPr="00141A0F">
              <w:rPr>
                <w:rStyle w:val="Hypertextovodkaz"/>
                <w:noProof/>
              </w:rPr>
              <w:t>Cíle a zaměření podprogramu 3</w:t>
            </w:r>
            <w:r w:rsidR="0075505C">
              <w:rPr>
                <w:noProof/>
                <w:webHidden/>
              </w:rPr>
              <w:tab/>
            </w:r>
            <w:r w:rsidR="0075505C">
              <w:rPr>
                <w:noProof/>
                <w:webHidden/>
              </w:rPr>
              <w:fldChar w:fldCharType="begin"/>
            </w:r>
            <w:r w:rsidR="0075505C">
              <w:rPr>
                <w:noProof/>
                <w:webHidden/>
              </w:rPr>
              <w:instrText xml:space="preserve"> PAGEREF _Toc83296739 \h </w:instrText>
            </w:r>
            <w:r w:rsidR="0075505C">
              <w:rPr>
                <w:noProof/>
                <w:webHidden/>
              </w:rPr>
            </w:r>
            <w:r w:rsidR="0075505C">
              <w:rPr>
                <w:noProof/>
                <w:webHidden/>
              </w:rPr>
              <w:fldChar w:fldCharType="separate"/>
            </w:r>
            <w:r w:rsidR="007D3CE5">
              <w:rPr>
                <w:noProof/>
                <w:webHidden/>
              </w:rPr>
              <w:t>16</w:t>
            </w:r>
            <w:r w:rsidR="0075505C">
              <w:rPr>
                <w:noProof/>
                <w:webHidden/>
              </w:rPr>
              <w:fldChar w:fldCharType="end"/>
            </w:r>
          </w:hyperlink>
        </w:p>
        <w:p w14:paraId="0FBAA819" w14:textId="0C42970C" w:rsidR="0075505C" w:rsidRDefault="00AD0DA4">
          <w:pPr>
            <w:pStyle w:val="Obsah3"/>
            <w:tabs>
              <w:tab w:val="left" w:pos="1320"/>
              <w:tab w:val="right" w:leader="dot" w:pos="9062"/>
            </w:tabs>
            <w:rPr>
              <w:noProof/>
              <w:lang w:eastAsia="cs-CZ"/>
            </w:rPr>
          </w:pPr>
          <w:hyperlink w:anchor="_Toc83296740" w:history="1">
            <w:r w:rsidR="0075505C" w:rsidRPr="00141A0F">
              <w:rPr>
                <w:rStyle w:val="Hypertextovodkaz"/>
                <w:noProof/>
              </w:rPr>
              <w:t>4.3.3</w:t>
            </w:r>
            <w:r w:rsidR="0075505C">
              <w:rPr>
                <w:noProof/>
                <w:lang w:eastAsia="cs-CZ"/>
              </w:rPr>
              <w:tab/>
            </w:r>
            <w:r w:rsidR="0075505C" w:rsidRPr="00141A0F">
              <w:rPr>
                <w:rStyle w:val="Hypertextovodkaz"/>
                <w:noProof/>
              </w:rPr>
              <w:t>Finanční alokace na podprogram 3</w:t>
            </w:r>
            <w:r w:rsidR="0075505C">
              <w:rPr>
                <w:noProof/>
                <w:webHidden/>
              </w:rPr>
              <w:tab/>
            </w:r>
            <w:r w:rsidR="0075505C">
              <w:rPr>
                <w:noProof/>
                <w:webHidden/>
              </w:rPr>
              <w:fldChar w:fldCharType="begin"/>
            </w:r>
            <w:r w:rsidR="0075505C">
              <w:rPr>
                <w:noProof/>
                <w:webHidden/>
              </w:rPr>
              <w:instrText xml:space="preserve"> PAGEREF _Toc83296740 \h </w:instrText>
            </w:r>
            <w:r w:rsidR="0075505C">
              <w:rPr>
                <w:noProof/>
                <w:webHidden/>
              </w:rPr>
            </w:r>
            <w:r w:rsidR="0075505C">
              <w:rPr>
                <w:noProof/>
                <w:webHidden/>
              </w:rPr>
              <w:fldChar w:fldCharType="separate"/>
            </w:r>
            <w:r w:rsidR="007D3CE5">
              <w:rPr>
                <w:noProof/>
                <w:webHidden/>
              </w:rPr>
              <w:t>16</w:t>
            </w:r>
            <w:r w:rsidR="0075505C">
              <w:rPr>
                <w:noProof/>
                <w:webHidden/>
              </w:rPr>
              <w:fldChar w:fldCharType="end"/>
            </w:r>
          </w:hyperlink>
        </w:p>
        <w:p w14:paraId="06CF82E1" w14:textId="2733597D" w:rsidR="0075505C" w:rsidRDefault="00AD0DA4">
          <w:pPr>
            <w:pStyle w:val="Obsah1"/>
            <w:rPr>
              <w:noProof/>
              <w:lang w:eastAsia="cs-CZ"/>
            </w:rPr>
          </w:pPr>
          <w:hyperlink w:anchor="_Toc83296741" w:history="1">
            <w:r w:rsidR="0075505C" w:rsidRPr="00141A0F">
              <w:rPr>
                <w:rStyle w:val="Hypertextovodkaz"/>
                <w:noProof/>
              </w:rPr>
              <w:t>5</w:t>
            </w:r>
            <w:r w:rsidR="0075505C">
              <w:rPr>
                <w:noProof/>
                <w:lang w:eastAsia="cs-CZ"/>
              </w:rPr>
              <w:tab/>
            </w:r>
            <w:r w:rsidR="0075505C" w:rsidRPr="00141A0F">
              <w:rPr>
                <w:rStyle w:val="Hypertextovodkaz"/>
                <w:noProof/>
              </w:rPr>
              <w:t>Financování programu</w:t>
            </w:r>
            <w:r w:rsidR="0075505C">
              <w:rPr>
                <w:noProof/>
                <w:webHidden/>
              </w:rPr>
              <w:tab/>
            </w:r>
            <w:r w:rsidR="0075505C">
              <w:rPr>
                <w:noProof/>
                <w:webHidden/>
              </w:rPr>
              <w:fldChar w:fldCharType="begin"/>
            </w:r>
            <w:r w:rsidR="0075505C">
              <w:rPr>
                <w:noProof/>
                <w:webHidden/>
              </w:rPr>
              <w:instrText xml:space="preserve"> PAGEREF _Toc83296741 \h </w:instrText>
            </w:r>
            <w:r w:rsidR="0075505C">
              <w:rPr>
                <w:noProof/>
                <w:webHidden/>
              </w:rPr>
            </w:r>
            <w:r w:rsidR="0075505C">
              <w:rPr>
                <w:noProof/>
                <w:webHidden/>
              </w:rPr>
              <w:fldChar w:fldCharType="separate"/>
            </w:r>
            <w:r w:rsidR="007D3CE5">
              <w:rPr>
                <w:noProof/>
                <w:webHidden/>
              </w:rPr>
              <w:t>16</w:t>
            </w:r>
            <w:r w:rsidR="0075505C">
              <w:rPr>
                <w:noProof/>
                <w:webHidden/>
              </w:rPr>
              <w:fldChar w:fldCharType="end"/>
            </w:r>
          </w:hyperlink>
        </w:p>
        <w:p w14:paraId="61DCA344" w14:textId="0B6A828E" w:rsidR="0075505C" w:rsidRDefault="00AD0DA4">
          <w:pPr>
            <w:pStyle w:val="Obsah1"/>
            <w:rPr>
              <w:noProof/>
              <w:lang w:eastAsia="cs-CZ"/>
            </w:rPr>
          </w:pPr>
          <w:hyperlink w:anchor="_Toc83296742" w:history="1">
            <w:r w:rsidR="0075505C" w:rsidRPr="00141A0F">
              <w:rPr>
                <w:rStyle w:val="Hypertextovodkaz"/>
                <w:noProof/>
              </w:rPr>
              <w:t>6</w:t>
            </w:r>
            <w:r w:rsidR="0075505C">
              <w:rPr>
                <w:noProof/>
                <w:lang w:eastAsia="cs-CZ"/>
              </w:rPr>
              <w:tab/>
            </w:r>
            <w:r w:rsidR="0075505C" w:rsidRPr="00141A0F">
              <w:rPr>
                <w:rStyle w:val="Hypertextovodkaz"/>
                <w:noProof/>
              </w:rPr>
              <w:t>Realizace programu</w:t>
            </w:r>
            <w:r w:rsidR="0075505C">
              <w:rPr>
                <w:noProof/>
                <w:webHidden/>
              </w:rPr>
              <w:tab/>
            </w:r>
            <w:r w:rsidR="0075505C">
              <w:rPr>
                <w:noProof/>
                <w:webHidden/>
              </w:rPr>
              <w:fldChar w:fldCharType="begin"/>
            </w:r>
            <w:r w:rsidR="0075505C">
              <w:rPr>
                <w:noProof/>
                <w:webHidden/>
              </w:rPr>
              <w:instrText xml:space="preserve"> PAGEREF _Toc83296742 \h </w:instrText>
            </w:r>
            <w:r w:rsidR="0075505C">
              <w:rPr>
                <w:noProof/>
                <w:webHidden/>
              </w:rPr>
            </w:r>
            <w:r w:rsidR="0075505C">
              <w:rPr>
                <w:noProof/>
                <w:webHidden/>
              </w:rPr>
              <w:fldChar w:fldCharType="separate"/>
            </w:r>
            <w:r w:rsidR="007D3CE5">
              <w:rPr>
                <w:noProof/>
                <w:webHidden/>
              </w:rPr>
              <w:t>16</w:t>
            </w:r>
            <w:r w:rsidR="0075505C">
              <w:rPr>
                <w:noProof/>
                <w:webHidden/>
              </w:rPr>
              <w:fldChar w:fldCharType="end"/>
            </w:r>
          </w:hyperlink>
        </w:p>
        <w:p w14:paraId="68704403" w14:textId="1A9FE005" w:rsidR="0075505C" w:rsidRDefault="00AD0DA4">
          <w:pPr>
            <w:pStyle w:val="Obsah2"/>
            <w:tabs>
              <w:tab w:val="left" w:pos="880"/>
            </w:tabs>
            <w:rPr>
              <w:noProof/>
              <w:lang w:eastAsia="cs-CZ"/>
            </w:rPr>
          </w:pPr>
          <w:hyperlink w:anchor="_Toc83296743" w:history="1">
            <w:r w:rsidR="0075505C" w:rsidRPr="00141A0F">
              <w:rPr>
                <w:rStyle w:val="Hypertextovodkaz"/>
                <w:noProof/>
              </w:rPr>
              <w:t>6.1</w:t>
            </w:r>
            <w:r w:rsidR="0075505C">
              <w:rPr>
                <w:noProof/>
                <w:lang w:eastAsia="cs-CZ"/>
              </w:rPr>
              <w:tab/>
            </w:r>
            <w:r w:rsidR="0075505C" w:rsidRPr="00141A0F">
              <w:rPr>
                <w:rStyle w:val="Hypertextovodkaz"/>
                <w:noProof/>
              </w:rPr>
              <w:t>Očekávané výsledky programu</w:t>
            </w:r>
            <w:r w:rsidR="0075505C">
              <w:rPr>
                <w:noProof/>
                <w:webHidden/>
              </w:rPr>
              <w:tab/>
            </w:r>
            <w:r w:rsidR="0075505C">
              <w:rPr>
                <w:noProof/>
                <w:webHidden/>
              </w:rPr>
              <w:fldChar w:fldCharType="begin"/>
            </w:r>
            <w:r w:rsidR="0075505C">
              <w:rPr>
                <w:noProof/>
                <w:webHidden/>
              </w:rPr>
              <w:instrText xml:space="preserve"> PAGEREF _Toc83296743 \h </w:instrText>
            </w:r>
            <w:r w:rsidR="0075505C">
              <w:rPr>
                <w:noProof/>
                <w:webHidden/>
              </w:rPr>
            </w:r>
            <w:r w:rsidR="0075505C">
              <w:rPr>
                <w:noProof/>
                <w:webHidden/>
              </w:rPr>
              <w:fldChar w:fldCharType="separate"/>
            </w:r>
            <w:r w:rsidR="007D3CE5">
              <w:rPr>
                <w:noProof/>
                <w:webHidden/>
              </w:rPr>
              <w:t>16</w:t>
            </w:r>
            <w:r w:rsidR="0075505C">
              <w:rPr>
                <w:noProof/>
                <w:webHidden/>
              </w:rPr>
              <w:fldChar w:fldCharType="end"/>
            </w:r>
          </w:hyperlink>
        </w:p>
        <w:p w14:paraId="35EE1EE7" w14:textId="1CD9F49E" w:rsidR="0075505C" w:rsidRDefault="00AD0DA4">
          <w:pPr>
            <w:pStyle w:val="Obsah2"/>
            <w:tabs>
              <w:tab w:val="left" w:pos="880"/>
            </w:tabs>
            <w:rPr>
              <w:noProof/>
              <w:lang w:eastAsia="cs-CZ"/>
            </w:rPr>
          </w:pPr>
          <w:hyperlink w:anchor="_Toc83296744" w:history="1">
            <w:r w:rsidR="0075505C" w:rsidRPr="00141A0F">
              <w:rPr>
                <w:rStyle w:val="Hypertextovodkaz"/>
                <w:noProof/>
              </w:rPr>
              <w:t>6.2</w:t>
            </w:r>
            <w:r w:rsidR="0075505C">
              <w:rPr>
                <w:noProof/>
                <w:lang w:eastAsia="cs-CZ"/>
              </w:rPr>
              <w:tab/>
            </w:r>
            <w:r w:rsidR="0075505C" w:rsidRPr="00141A0F">
              <w:rPr>
                <w:rStyle w:val="Hypertextovodkaz"/>
                <w:noProof/>
              </w:rPr>
              <w:t>Uchazeči a prokázání jejich způsobilosti</w:t>
            </w:r>
            <w:r w:rsidR="0075505C">
              <w:rPr>
                <w:noProof/>
                <w:webHidden/>
              </w:rPr>
              <w:tab/>
            </w:r>
            <w:r w:rsidR="0075505C">
              <w:rPr>
                <w:noProof/>
                <w:webHidden/>
              </w:rPr>
              <w:fldChar w:fldCharType="begin"/>
            </w:r>
            <w:r w:rsidR="0075505C">
              <w:rPr>
                <w:noProof/>
                <w:webHidden/>
              </w:rPr>
              <w:instrText xml:space="preserve"> PAGEREF _Toc83296744 \h </w:instrText>
            </w:r>
            <w:r w:rsidR="0075505C">
              <w:rPr>
                <w:noProof/>
                <w:webHidden/>
              </w:rPr>
            </w:r>
            <w:r w:rsidR="0075505C">
              <w:rPr>
                <w:noProof/>
                <w:webHidden/>
              </w:rPr>
              <w:fldChar w:fldCharType="separate"/>
            </w:r>
            <w:r w:rsidR="007D3CE5">
              <w:rPr>
                <w:noProof/>
                <w:webHidden/>
              </w:rPr>
              <w:t>17</w:t>
            </w:r>
            <w:r w:rsidR="0075505C">
              <w:rPr>
                <w:noProof/>
                <w:webHidden/>
              </w:rPr>
              <w:fldChar w:fldCharType="end"/>
            </w:r>
          </w:hyperlink>
        </w:p>
        <w:p w14:paraId="0B244868" w14:textId="52C491B9" w:rsidR="0075505C" w:rsidRDefault="00AD0DA4">
          <w:pPr>
            <w:pStyle w:val="Obsah2"/>
            <w:tabs>
              <w:tab w:val="left" w:pos="880"/>
            </w:tabs>
            <w:rPr>
              <w:noProof/>
              <w:lang w:eastAsia="cs-CZ"/>
            </w:rPr>
          </w:pPr>
          <w:hyperlink w:anchor="_Toc83296745" w:history="1">
            <w:r w:rsidR="0075505C" w:rsidRPr="00141A0F">
              <w:rPr>
                <w:rStyle w:val="Hypertextovodkaz"/>
                <w:noProof/>
              </w:rPr>
              <w:t>6.3</w:t>
            </w:r>
            <w:r w:rsidR="0075505C">
              <w:rPr>
                <w:noProof/>
                <w:lang w:eastAsia="cs-CZ"/>
              </w:rPr>
              <w:tab/>
            </w:r>
            <w:r w:rsidR="0075505C" w:rsidRPr="00141A0F">
              <w:rPr>
                <w:rStyle w:val="Hypertextovodkaz"/>
                <w:noProof/>
              </w:rPr>
              <w:t>Intenzita podpory a typologie podpořených projektů</w:t>
            </w:r>
            <w:r w:rsidR="0075505C">
              <w:rPr>
                <w:noProof/>
                <w:webHidden/>
              </w:rPr>
              <w:tab/>
            </w:r>
            <w:r w:rsidR="0075505C">
              <w:rPr>
                <w:noProof/>
                <w:webHidden/>
              </w:rPr>
              <w:fldChar w:fldCharType="begin"/>
            </w:r>
            <w:r w:rsidR="0075505C">
              <w:rPr>
                <w:noProof/>
                <w:webHidden/>
              </w:rPr>
              <w:instrText xml:space="preserve"> PAGEREF _Toc83296745 \h </w:instrText>
            </w:r>
            <w:r w:rsidR="0075505C">
              <w:rPr>
                <w:noProof/>
                <w:webHidden/>
              </w:rPr>
            </w:r>
            <w:r w:rsidR="0075505C">
              <w:rPr>
                <w:noProof/>
                <w:webHidden/>
              </w:rPr>
              <w:fldChar w:fldCharType="separate"/>
            </w:r>
            <w:r w:rsidR="007D3CE5">
              <w:rPr>
                <w:noProof/>
                <w:webHidden/>
              </w:rPr>
              <w:t>18</w:t>
            </w:r>
            <w:r w:rsidR="0075505C">
              <w:rPr>
                <w:noProof/>
                <w:webHidden/>
              </w:rPr>
              <w:fldChar w:fldCharType="end"/>
            </w:r>
          </w:hyperlink>
        </w:p>
        <w:p w14:paraId="09FA7203" w14:textId="0C06D2DD" w:rsidR="0075505C" w:rsidRDefault="00AD0DA4">
          <w:pPr>
            <w:pStyle w:val="Obsah2"/>
            <w:tabs>
              <w:tab w:val="left" w:pos="880"/>
            </w:tabs>
            <w:rPr>
              <w:noProof/>
              <w:lang w:eastAsia="cs-CZ"/>
            </w:rPr>
          </w:pPr>
          <w:hyperlink w:anchor="_Toc83296746" w:history="1">
            <w:r w:rsidR="0075505C" w:rsidRPr="00141A0F">
              <w:rPr>
                <w:rStyle w:val="Hypertextovodkaz"/>
                <w:noProof/>
              </w:rPr>
              <w:t>6.4</w:t>
            </w:r>
            <w:r w:rsidR="0075505C">
              <w:rPr>
                <w:noProof/>
                <w:lang w:eastAsia="cs-CZ"/>
              </w:rPr>
              <w:tab/>
            </w:r>
            <w:r w:rsidR="0075505C" w:rsidRPr="00141A0F">
              <w:rPr>
                <w:rStyle w:val="Hypertextovodkaz"/>
                <w:noProof/>
              </w:rPr>
              <w:t>Způsobilé a uznané náklady programu</w:t>
            </w:r>
            <w:r w:rsidR="0075505C">
              <w:rPr>
                <w:noProof/>
                <w:webHidden/>
              </w:rPr>
              <w:tab/>
            </w:r>
            <w:r w:rsidR="0075505C">
              <w:rPr>
                <w:noProof/>
                <w:webHidden/>
              </w:rPr>
              <w:fldChar w:fldCharType="begin"/>
            </w:r>
            <w:r w:rsidR="0075505C">
              <w:rPr>
                <w:noProof/>
                <w:webHidden/>
              </w:rPr>
              <w:instrText xml:space="preserve"> PAGEREF _Toc83296746 \h </w:instrText>
            </w:r>
            <w:r w:rsidR="0075505C">
              <w:rPr>
                <w:noProof/>
                <w:webHidden/>
              </w:rPr>
            </w:r>
            <w:r w:rsidR="0075505C">
              <w:rPr>
                <w:noProof/>
                <w:webHidden/>
              </w:rPr>
              <w:fldChar w:fldCharType="separate"/>
            </w:r>
            <w:r w:rsidR="007D3CE5">
              <w:rPr>
                <w:noProof/>
                <w:webHidden/>
              </w:rPr>
              <w:t>18</w:t>
            </w:r>
            <w:r w:rsidR="0075505C">
              <w:rPr>
                <w:noProof/>
                <w:webHidden/>
              </w:rPr>
              <w:fldChar w:fldCharType="end"/>
            </w:r>
          </w:hyperlink>
        </w:p>
        <w:p w14:paraId="67F4815A" w14:textId="273CD5D4" w:rsidR="0075505C" w:rsidRDefault="00AD0DA4">
          <w:pPr>
            <w:pStyle w:val="Obsah2"/>
            <w:tabs>
              <w:tab w:val="left" w:pos="880"/>
            </w:tabs>
            <w:rPr>
              <w:noProof/>
              <w:lang w:eastAsia="cs-CZ"/>
            </w:rPr>
          </w:pPr>
          <w:hyperlink w:anchor="_Toc83296747" w:history="1">
            <w:r w:rsidR="0075505C" w:rsidRPr="00141A0F">
              <w:rPr>
                <w:rStyle w:val="Hypertextovodkaz"/>
                <w:noProof/>
              </w:rPr>
              <w:t>6.5</w:t>
            </w:r>
            <w:r w:rsidR="0075505C">
              <w:rPr>
                <w:noProof/>
                <w:lang w:eastAsia="cs-CZ"/>
              </w:rPr>
              <w:tab/>
            </w:r>
            <w:r w:rsidR="0075505C" w:rsidRPr="00141A0F">
              <w:rPr>
                <w:rStyle w:val="Hypertextovodkaz"/>
                <w:noProof/>
              </w:rPr>
              <w:t>Způsob a kritéria hodnocení projektů</w:t>
            </w:r>
            <w:r w:rsidR="0075505C">
              <w:rPr>
                <w:noProof/>
                <w:webHidden/>
              </w:rPr>
              <w:tab/>
            </w:r>
            <w:r w:rsidR="0075505C">
              <w:rPr>
                <w:noProof/>
                <w:webHidden/>
              </w:rPr>
              <w:fldChar w:fldCharType="begin"/>
            </w:r>
            <w:r w:rsidR="0075505C">
              <w:rPr>
                <w:noProof/>
                <w:webHidden/>
              </w:rPr>
              <w:instrText xml:space="preserve"> PAGEREF _Toc83296747 \h </w:instrText>
            </w:r>
            <w:r w:rsidR="0075505C">
              <w:rPr>
                <w:noProof/>
                <w:webHidden/>
              </w:rPr>
            </w:r>
            <w:r w:rsidR="0075505C">
              <w:rPr>
                <w:noProof/>
                <w:webHidden/>
              </w:rPr>
              <w:fldChar w:fldCharType="separate"/>
            </w:r>
            <w:r w:rsidR="007D3CE5">
              <w:rPr>
                <w:noProof/>
                <w:webHidden/>
              </w:rPr>
              <w:t>18</w:t>
            </w:r>
            <w:r w:rsidR="0075505C">
              <w:rPr>
                <w:noProof/>
                <w:webHidden/>
              </w:rPr>
              <w:fldChar w:fldCharType="end"/>
            </w:r>
          </w:hyperlink>
        </w:p>
        <w:p w14:paraId="2A13569A" w14:textId="571FF051" w:rsidR="0075505C" w:rsidRDefault="00AD0DA4">
          <w:pPr>
            <w:pStyle w:val="Obsah1"/>
            <w:rPr>
              <w:noProof/>
              <w:lang w:eastAsia="cs-CZ"/>
            </w:rPr>
          </w:pPr>
          <w:hyperlink w:anchor="_Toc83296748" w:history="1">
            <w:r w:rsidR="0075505C" w:rsidRPr="00141A0F">
              <w:rPr>
                <w:rStyle w:val="Hypertextovodkaz"/>
                <w:noProof/>
              </w:rPr>
              <w:t>7</w:t>
            </w:r>
            <w:r w:rsidR="0075505C">
              <w:rPr>
                <w:noProof/>
                <w:lang w:eastAsia="cs-CZ"/>
              </w:rPr>
              <w:tab/>
            </w:r>
            <w:r w:rsidR="0075505C" w:rsidRPr="00141A0F">
              <w:rPr>
                <w:rStyle w:val="Hypertextovodkaz"/>
                <w:noProof/>
              </w:rPr>
              <w:t>Rizika</w:t>
            </w:r>
            <w:r w:rsidR="0075505C">
              <w:rPr>
                <w:noProof/>
                <w:webHidden/>
              </w:rPr>
              <w:tab/>
            </w:r>
            <w:r w:rsidR="0075505C">
              <w:rPr>
                <w:noProof/>
                <w:webHidden/>
              </w:rPr>
              <w:fldChar w:fldCharType="begin"/>
            </w:r>
            <w:r w:rsidR="0075505C">
              <w:rPr>
                <w:noProof/>
                <w:webHidden/>
              </w:rPr>
              <w:instrText xml:space="preserve"> PAGEREF _Toc83296748 \h </w:instrText>
            </w:r>
            <w:r w:rsidR="0075505C">
              <w:rPr>
                <w:noProof/>
                <w:webHidden/>
              </w:rPr>
            </w:r>
            <w:r w:rsidR="0075505C">
              <w:rPr>
                <w:noProof/>
                <w:webHidden/>
              </w:rPr>
              <w:fldChar w:fldCharType="separate"/>
            </w:r>
            <w:r w:rsidR="007D3CE5">
              <w:rPr>
                <w:noProof/>
                <w:webHidden/>
              </w:rPr>
              <w:t>19</w:t>
            </w:r>
            <w:r w:rsidR="0075505C">
              <w:rPr>
                <w:noProof/>
                <w:webHidden/>
              </w:rPr>
              <w:fldChar w:fldCharType="end"/>
            </w:r>
          </w:hyperlink>
        </w:p>
        <w:p w14:paraId="42EE23EB" w14:textId="0944D5CC" w:rsidR="0075505C" w:rsidRDefault="00AD0DA4">
          <w:pPr>
            <w:pStyle w:val="Obsah1"/>
            <w:rPr>
              <w:noProof/>
              <w:lang w:eastAsia="cs-CZ"/>
            </w:rPr>
          </w:pPr>
          <w:hyperlink w:anchor="_Toc83296749" w:history="1">
            <w:r w:rsidR="0075505C" w:rsidRPr="00141A0F">
              <w:rPr>
                <w:rStyle w:val="Hypertextovodkaz"/>
                <w:noProof/>
              </w:rPr>
              <w:t>8</w:t>
            </w:r>
            <w:r w:rsidR="0075505C">
              <w:rPr>
                <w:noProof/>
                <w:lang w:eastAsia="cs-CZ"/>
              </w:rPr>
              <w:tab/>
            </w:r>
            <w:r w:rsidR="0075505C" w:rsidRPr="00141A0F">
              <w:rPr>
                <w:rStyle w:val="Hypertextovodkaz"/>
                <w:noProof/>
              </w:rPr>
              <w:t>Parametry a kritéria hodnocení programu</w:t>
            </w:r>
            <w:r w:rsidR="0075505C">
              <w:rPr>
                <w:noProof/>
                <w:webHidden/>
              </w:rPr>
              <w:tab/>
            </w:r>
            <w:r w:rsidR="0075505C">
              <w:rPr>
                <w:noProof/>
                <w:webHidden/>
              </w:rPr>
              <w:fldChar w:fldCharType="begin"/>
            </w:r>
            <w:r w:rsidR="0075505C">
              <w:rPr>
                <w:noProof/>
                <w:webHidden/>
              </w:rPr>
              <w:instrText xml:space="preserve"> PAGEREF _Toc83296749 \h </w:instrText>
            </w:r>
            <w:r w:rsidR="0075505C">
              <w:rPr>
                <w:noProof/>
                <w:webHidden/>
              </w:rPr>
            </w:r>
            <w:r w:rsidR="0075505C">
              <w:rPr>
                <w:noProof/>
                <w:webHidden/>
              </w:rPr>
              <w:fldChar w:fldCharType="separate"/>
            </w:r>
            <w:r w:rsidR="007D3CE5">
              <w:rPr>
                <w:noProof/>
                <w:webHidden/>
              </w:rPr>
              <w:t>23</w:t>
            </w:r>
            <w:r w:rsidR="0075505C">
              <w:rPr>
                <w:noProof/>
                <w:webHidden/>
              </w:rPr>
              <w:fldChar w:fldCharType="end"/>
            </w:r>
          </w:hyperlink>
        </w:p>
        <w:p w14:paraId="44E4BD45" w14:textId="61AF25B4" w:rsidR="0075505C" w:rsidRDefault="00AD0DA4">
          <w:pPr>
            <w:pStyle w:val="Obsah2"/>
            <w:tabs>
              <w:tab w:val="left" w:pos="880"/>
            </w:tabs>
            <w:rPr>
              <w:noProof/>
              <w:lang w:eastAsia="cs-CZ"/>
            </w:rPr>
          </w:pPr>
          <w:hyperlink w:anchor="_Toc83296750" w:history="1">
            <w:r w:rsidR="0075505C" w:rsidRPr="00141A0F">
              <w:rPr>
                <w:rStyle w:val="Hypertextovodkaz"/>
                <w:noProof/>
              </w:rPr>
              <w:t>8.1</w:t>
            </w:r>
            <w:r w:rsidR="0075505C">
              <w:rPr>
                <w:noProof/>
                <w:lang w:eastAsia="cs-CZ"/>
              </w:rPr>
              <w:tab/>
            </w:r>
            <w:r w:rsidR="0075505C" w:rsidRPr="00141A0F">
              <w:rPr>
                <w:rStyle w:val="Hypertextovodkaz"/>
                <w:noProof/>
              </w:rPr>
              <w:t>Harmonogram hodnocení</w:t>
            </w:r>
            <w:r w:rsidR="0075505C">
              <w:rPr>
                <w:noProof/>
                <w:webHidden/>
              </w:rPr>
              <w:tab/>
            </w:r>
            <w:r w:rsidR="0075505C">
              <w:rPr>
                <w:noProof/>
                <w:webHidden/>
              </w:rPr>
              <w:fldChar w:fldCharType="begin"/>
            </w:r>
            <w:r w:rsidR="0075505C">
              <w:rPr>
                <w:noProof/>
                <w:webHidden/>
              </w:rPr>
              <w:instrText xml:space="preserve"> PAGEREF _Toc83296750 \h </w:instrText>
            </w:r>
            <w:r w:rsidR="0075505C">
              <w:rPr>
                <w:noProof/>
                <w:webHidden/>
              </w:rPr>
            </w:r>
            <w:r w:rsidR="0075505C">
              <w:rPr>
                <w:noProof/>
                <w:webHidden/>
              </w:rPr>
              <w:fldChar w:fldCharType="separate"/>
            </w:r>
            <w:r w:rsidR="007D3CE5">
              <w:rPr>
                <w:noProof/>
                <w:webHidden/>
              </w:rPr>
              <w:t>25</w:t>
            </w:r>
            <w:r w:rsidR="0075505C">
              <w:rPr>
                <w:noProof/>
                <w:webHidden/>
              </w:rPr>
              <w:fldChar w:fldCharType="end"/>
            </w:r>
          </w:hyperlink>
        </w:p>
        <w:p w14:paraId="163DE42C" w14:textId="344E4C65" w:rsidR="0075505C" w:rsidRDefault="00AD0DA4">
          <w:pPr>
            <w:pStyle w:val="Obsah2"/>
            <w:tabs>
              <w:tab w:val="left" w:pos="880"/>
            </w:tabs>
            <w:rPr>
              <w:noProof/>
              <w:lang w:eastAsia="cs-CZ"/>
            </w:rPr>
          </w:pPr>
          <w:hyperlink w:anchor="_Toc83296751" w:history="1">
            <w:r w:rsidR="0075505C" w:rsidRPr="00141A0F">
              <w:rPr>
                <w:rStyle w:val="Hypertextovodkaz"/>
                <w:noProof/>
              </w:rPr>
              <w:t>8.2</w:t>
            </w:r>
            <w:r w:rsidR="0075505C">
              <w:rPr>
                <w:noProof/>
                <w:lang w:eastAsia="cs-CZ"/>
              </w:rPr>
              <w:tab/>
            </w:r>
            <w:r w:rsidR="0075505C" w:rsidRPr="00141A0F">
              <w:rPr>
                <w:rStyle w:val="Hypertextovodkaz"/>
                <w:noProof/>
              </w:rPr>
              <w:t>Funkčnost</w:t>
            </w:r>
            <w:r w:rsidR="0075505C">
              <w:rPr>
                <w:noProof/>
                <w:webHidden/>
              </w:rPr>
              <w:tab/>
            </w:r>
            <w:r w:rsidR="0075505C">
              <w:rPr>
                <w:noProof/>
                <w:webHidden/>
              </w:rPr>
              <w:fldChar w:fldCharType="begin"/>
            </w:r>
            <w:r w:rsidR="0075505C">
              <w:rPr>
                <w:noProof/>
                <w:webHidden/>
              </w:rPr>
              <w:instrText xml:space="preserve"> PAGEREF _Toc83296751 \h </w:instrText>
            </w:r>
            <w:r w:rsidR="0075505C">
              <w:rPr>
                <w:noProof/>
                <w:webHidden/>
              </w:rPr>
            </w:r>
            <w:r w:rsidR="0075505C">
              <w:rPr>
                <w:noProof/>
                <w:webHidden/>
              </w:rPr>
              <w:fldChar w:fldCharType="separate"/>
            </w:r>
            <w:r w:rsidR="007D3CE5">
              <w:rPr>
                <w:noProof/>
                <w:webHidden/>
              </w:rPr>
              <w:t>25</w:t>
            </w:r>
            <w:r w:rsidR="0075505C">
              <w:rPr>
                <w:noProof/>
                <w:webHidden/>
              </w:rPr>
              <w:fldChar w:fldCharType="end"/>
            </w:r>
          </w:hyperlink>
        </w:p>
        <w:p w14:paraId="5F67393C" w14:textId="1F0C08B8" w:rsidR="0075505C" w:rsidRDefault="00AD0DA4">
          <w:pPr>
            <w:pStyle w:val="Obsah2"/>
            <w:tabs>
              <w:tab w:val="left" w:pos="880"/>
            </w:tabs>
            <w:rPr>
              <w:noProof/>
              <w:lang w:eastAsia="cs-CZ"/>
            </w:rPr>
          </w:pPr>
          <w:hyperlink w:anchor="_Toc83296752" w:history="1">
            <w:r w:rsidR="0075505C" w:rsidRPr="00141A0F">
              <w:rPr>
                <w:rStyle w:val="Hypertextovodkaz"/>
                <w:noProof/>
              </w:rPr>
              <w:t>8.3</w:t>
            </w:r>
            <w:r w:rsidR="0075505C">
              <w:rPr>
                <w:noProof/>
                <w:lang w:eastAsia="cs-CZ"/>
              </w:rPr>
              <w:tab/>
            </w:r>
            <w:r w:rsidR="0075505C" w:rsidRPr="00141A0F">
              <w:rPr>
                <w:rStyle w:val="Hypertextovodkaz"/>
                <w:noProof/>
              </w:rPr>
              <w:t>Efektivita</w:t>
            </w:r>
            <w:r w:rsidR="0075505C">
              <w:rPr>
                <w:noProof/>
                <w:webHidden/>
              </w:rPr>
              <w:tab/>
            </w:r>
            <w:r w:rsidR="0075505C">
              <w:rPr>
                <w:noProof/>
                <w:webHidden/>
              </w:rPr>
              <w:fldChar w:fldCharType="begin"/>
            </w:r>
            <w:r w:rsidR="0075505C">
              <w:rPr>
                <w:noProof/>
                <w:webHidden/>
              </w:rPr>
              <w:instrText xml:space="preserve"> PAGEREF _Toc83296752 \h </w:instrText>
            </w:r>
            <w:r w:rsidR="0075505C">
              <w:rPr>
                <w:noProof/>
                <w:webHidden/>
              </w:rPr>
            </w:r>
            <w:r w:rsidR="0075505C">
              <w:rPr>
                <w:noProof/>
                <w:webHidden/>
              </w:rPr>
              <w:fldChar w:fldCharType="separate"/>
            </w:r>
            <w:r w:rsidR="007D3CE5">
              <w:rPr>
                <w:noProof/>
                <w:webHidden/>
              </w:rPr>
              <w:t>26</w:t>
            </w:r>
            <w:r w:rsidR="0075505C">
              <w:rPr>
                <w:noProof/>
                <w:webHidden/>
              </w:rPr>
              <w:fldChar w:fldCharType="end"/>
            </w:r>
          </w:hyperlink>
        </w:p>
        <w:p w14:paraId="160B970E" w14:textId="2695D4AB" w:rsidR="0075505C" w:rsidRDefault="00AD0DA4">
          <w:pPr>
            <w:pStyle w:val="Obsah2"/>
            <w:tabs>
              <w:tab w:val="left" w:pos="880"/>
            </w:tabs>
            <w:rPr>
              <w:noProof/>
              <w:lang w:eastAsia="cs-CZ"/>
            </w:rPr>
          </w:pPr>
          <w:hyperlink w:anchor="_Toc83296753" w:history="1">
            <w:r w:rsidR="0075505C" w:rsidRPr="00141A0F">
              <w:rPr>
                <w:rStyle w:val="Hypertextovodkaz"/>
                <w:noProof/>
              </w:rPr>
              <w:t>8.4</w:t>
            </w:r>
            <w:r w:rsidR="0075505C">
              <w:rPr>
                <w:noProof/>
                <w:lang w:eastAsia="cs-CZ"/>
              </w:rPr>
              <w:tab/>
            </w:r>
            <w:r w:rsidR="0075505C" w:rsidRPr="00141A0F">
              <w:rPr>
                <w:rStyle w:val="Hypertextovodkaz"/>
                <w:noProof/>
              </w:rPr>
              <w:t>Relevance</w:t>
            </w:r>
            <w:r w:rsidR="0075505C">
              <w:rPr>
                <w:noProof/>
                <w:webHidden/>
              </w:rPr>
              <w:tab/>
            </w:r>
            <w:r w:rsidR="0075505C">
              <w:rPr>
                <w:noProof/>
                <w:webHidden/>
              </w:rPr>
              <w:fldChar w:fldCharType="begin"/>
            </w:r>
            <w:r w:rsidR="0075505C">
              <w:rPr>
                <w:noProof/>
                <w:webHidden/>
              </w:rPr>
              <w:instrText xml:space="preserve"> PAGEREF _Toc83296753 \h </w:instrText>
            </w:r>
            <w:r w:rsidR="0075505C">
              <w:rPr>
                <w:noProof/>
                <w:webHidden/>
              </w:rPr>
            </w:r>
            <w:r w:rsidR="0075505C">
              <w:rPr>
                <w:noProof/>
                <w:webHidden/>
              </w:rPr>
              <w:fldChar w:fldCharType="separate"/>
            </w:r>
            <w:r w:rsidR="007D3CE5">
              <w:rPr>
                <w:noProof/>
                <w:webHidden/>
              </w:rPr>
              <w:t>26</w:t>
            </w:r>
            <w:r w:rsidR="0075505C">
              <w:rPr>
                <w:noProof/>
                <w:webHidden/>
              </w:rPr>
              <w:fldChar w:fldCharType="end"/>
            </w:r>
          </w:hyperlink>
        </w:p>
        <w:p w14:paraId="55AEA8E9" w14:textId="0A7908FE" w:rsidR="0075505C" w:rsidRDefault="00AD0DA4">
          <w:pPr>
            <w:pStyle w:val="Obsah2"/>
            <w:tabs>
              <w:tab w:val="left" w:pos="880"/>
            </w:tabs>
            <w:rPr>
              <w:noProof/>
              <w:lang w:eastAsia="cs-CZ"/>
            </w:rPr>
          </w:pPr>
          <w:hyperlink w:anchor="_Toc83296754" w:history="1">
            <w:r w:rsidR="0075505C" w:rsidRPr="00141A0F">
              <w:rPr>
                <w:rStyle w:val="Hypertextovodkaz"/>
                <w:noProof/>
              </w:rPr>
              <w:t>8.5</w:t>
            </w:r>
            <w:r w:rsidR="0075505C">
              <w:rPr>
                <w:noProof/>
                <w:lang w:eastAsia="cs-CZ"/>
              </w:rPr>
              <w:tab/>
            </w:r>
            <w:r w:rsidR="0075505C" w:rsidRPr="00141A0F">
              <w:rPr>
                <w:rStyle w:val="Hypertextovodkaz"/>
                <w:noProof/>
              </w:rPr>
              <w:t>Dopady</w:t>
            </w:r>
            <w:r w:rsidR="0075505C">
              <w:rPr>
                <w:noProof/>
                <w:webHidden/>
              </w:rPr>
              <w:tab/>
            </w:r>
            <w:r w:rsidR="0075505C">
              <w:rPr>
                <w:noProof/>
                <w:webHidden/>
              </w:rPr>
              <w:fldChar w:fldCharType="begin"/>
            </w:r>
            <w:r w:rsidR="0075505C">
              <w:rPr>
                <w:noProof/>
                <w:webHidden/>
              </w:rPr>
              <w:instrText xml:space="preserve"> PAGEREF _Toc83296754 \h </w:instrText>
            </w:r>
            <w:r w:rsidR="0075505C">
              <w:rPr>
                <w:noProof/>
                <w:webHidden/>
              </w:rPr>
            </w:r>
            <w:r w:rsidR="0075505C">
              <w:rPr>
                <w:noProof/>
                <w:webHidden/>
              </w:rPr>
              <w:fldChar w:fldCharType="separate"/>
            </w:r>
            <w:r w:rsidR="007D3CE5">
              <w:rPr>
                <w:noProof/>
                <w:webHidden/>
              </w:rPr>
              <w:t>27</w:t>
            </w:r>
            <w:r w:rsidR="0075505C">
              <w:rPr>
                <w:noProof/>
                <w:webHidden/>
              </w:rPr>
              <w:fldChar w:fldCharType="end"/>
            </w:r>
          </w:hyperlink>
        </w:p>
        <w:p w14:paraId="032977CF" w14:textId="0F322F83" w:rsidR="00251F94" w:rsidRPr="003B4314" w:rsidRDefault="00E4344C" w:rsidP="009B202E">
          <w:pPr>
            <w:widowControl w:val="0"/>
            <w:suppressLineNumbers/>
            <w:spacing w:after="120"/>
          </w:pPr>
          <w:r w:rsidRPr="003B4314">
            <w:rPr>
              <w:b/>
              <w:bCs/>
            </w:rPr>
            <w:fldChar w:fldCharType="end"/>
          </w:r>
        </w:p>
      </w:sdtContent>
    </w:sdt>
    <w:p w14:paraId="131DEA9C" w14:textId="3E82F119" w:rsidR="000B0456" w:rsidRDefault="000B0456" w:rsidP="000B0456">
      <w:pPr>
        <w:pStyle w:val="Nadpis1"/>
        <w:numPr>
          <w:ilvl w:val="0"/>
          <w:numId w:val="0"/>
        </w:numPr>
        <w:ind w:left="432"/>
      </w:pPr>
      <w:bookmarkStart w:id="0" w:name="_gjdgxs" w:colFirst="0" w:colLast="0"/>
      <w:bookmarkEnd w:id="0"/>
    </w:p>
    <w:p w14:paraId="40682BEA" w14:textId="09682C9E" w:rsidR="000B0456" w:rsidRDefault="000B0456" w:rsidP="000B0456"/>
    <w:p w14:paraId="7C846BC8" w14:textId="6A14AC78" w:rsidR="000B0456" w:rsidRDefault="000B0456" w:rsidP="000B0456"/>
    <w:p w14:paraId="3629673D" w14:textId="4FFFEB6B" w:rsidR="000B0456" w:rsidRDefault="000B0456" w:rsidP="000B0456"/>
    <w:p w14:paraId="27F74F80" w14:textId="278792B6" w:rsidR="000B0456" w:rsidRDefault="000B0456" w:rsidP="000B0456"/>
    <w:p w14:paraId="17142790" w14:textId="64D0990E" w:rsidR="000B0456" w:rsidRDefault="000B0456" w:rsidP="000B0456"/>
    <w:p w14:paraId="318C8F58" w14:textId="358D39CB" w:rsidR="000B0456" w:rsidRDefault="000B0456" w:rsidP="000B0456"/>
    <w:p w14:paraId="05EEEB74" w14:textId="7E279870" w:rsidR="000B0456" w:rsidRDefault="000B0456" w:rsidP="000B0456"/>
    <w:p w14:paraId="50100469" w14:textId="4E6B57F4" w:rsidR="000B0456" w:rsidRDefault="000B0456" w:rsidP="000B0456"/>
    <w:p w14:paraId="0719FD2B" w14:textId="79C7F293" w:rsidR="000B0456" w:rsidRDefault="000B0456" w:rsidP="000B0456"/>
    <w:p w14:paraId="06B1F68E" w14:textId="0F1CF78B" w:rsidR="000B0456" w:rsidRDefault="000B0456" w:rsidP="000B0456"/>
    <w:p w14:paraId="655149A3" w14:textId="6165FECE" w:rsidR="000B0456" w:rsidRDefault="000B0456" w:rsidP="000B0456"/>
    <w:p w14:paraId="20ED1215" w14:textId="30D2C981" w:rsidR="000B0456" w:rsidRDefault="000B0456" w:rsidP="000B0456"/>
    <w:p w14:paraId="218914C2" w14:textId="26999370" w:rsidR="000B0456" w:rsidRDefault="000B0456" w:rsidP="000B0456"/>
    <w:p w14:paraId="775220EB" w14:textId="1E0793DD" w:rsidR="000B0456" w:rsidRDefault="000B0456" w:rsidP="000B0456"/>
    <w:p w14:paraId="23C03C96" w14:textId="5D355E14" w:rsidR="000B0456" w:rsidRDefault="000B0456" w:rsidP="000B0456"/>
    <w:p w14:paraId="63670506" w14:textId="3541DB99" w:rsidR="00E060D4" w:rsidRDefault="00E060D4" w:rsidP="000B0456"/>
    <w:p w14:paraId="3A923BE6" w14:textId="77777777" w:rsidR="00E060D4" w:rsidRPr="000B0456" w:rsidRDefault="00E060D4" w:rsidP="000B0456"/>
    <w:p w14:paraId="68E5E67C" w14:textId="2CB411DC" w:rsidR="00E614EA" w:rsidRPr="00A837D4" w:rsidRDefault="00E614EA" w:rsidP="00A837D4">
      <w:pPr>
        <w:pStyle w:val="Nadpis1"/>
      </w:pPr>
      <w:bookmarkStart w:id="1" w:name="_Toc83296709"/>
      <w:r w:rsidRPr="00A837D4">
        <w:lastRenderedPageBreak/>
        <w:t>Identifikační údaje</w:t>
      </w:r>
      <w:bookmarkEnd w:id="1"/>
    </w:p>
    <w:p w14:paraId="56C81C48" w14:textId="5E87E5D1" w:rsidR="009F13AE" w:rsidRPr="00A837D4" w:rsidRDefault="009F13AE" w:rsidP="00A837D4">
      <w:pPr>
        <w:pStyle w:val="Nadpis2"/>
      </w:pPr>
      <w:bookmarkStart w:id="2" w:name="_Toc83296710"/>
      <w:r w:rsidRPr="00A837D4">
        <w:t>N</w:t>
      </w:r>
      <w:r w:rsidR="00D428AA" w:rsidRPr="00A837D4">
        <w:t>ázev programu</w:t>
      </w:r>
      <w:bookmarkEnd w:id="2"/>
    </w:p>
    <w:p w14:paraId="55F1E2F3" w14:textId="28F0377A" w:rsidR="007A512B" w:rsidRPr="003B4314" w:rsidRDefault="00A73C9D" w:rsidP="009B202E">
      <w:pPr>
        <w:suppressLineNumbers/>
        <w:spacing w:after="120"/>
        <w:rPr>
          <w:rFonts w:eastAsia="Arial" w:cs="Arial"/>
        </w:rPr>
      </w:pPr>
      <w:r w:rsidRPr="00E060D4">
        <w:rPr>
          <w:rFonts w:eastAsia="Arial" w:cs="Arial"/>
          <w:u w:val="single"/>
        </w:rPr>
        <w:t>Otevřené výzvy v bezpečnostním výzkumu</w:t>
      </w:r>
      <w:r w:rsidR="00840C15" w:rsidRPr="00E060D4">
        <w:rPr>
          <w:rFonts w:eastAsia="Arial" w:cs="Arial"/>
          <w:u w:val="single"/>
        </w:rPr>
        <w:t xml:space="preserve"> 202</w:t>
      </w:r>
      <w:r w:rsidR="005D44A9" w:rsidRPr="00E060D4">
        <w:rPr>
          <w:rFonts w:eastAsia="Arial" w:cs="Arial"/>
          <w:u w:val="single"/>
        </w:rPr>
        <w:t>3</w:t>
      </w:r>
      <w:r w:rsidR="00840C15" w:rsidRPr="00E060D4">
        <w:rPr>
          <w:rFonts w:eastAsia="Arial" w:cs="Arial"/>
          <w:u w:val="single"/>
        </w:rPr>
        <w:t xml:space="preserve"> – </w:t>
      </w:r>
      <w:r w:rsidR="00840C15" w:rsidRPr="007D3CE5">
        <w:rPr>
          <w:rFonts w:eastAsia="Arial" w:cs="Arial"/>
          <w:u w:val="single"/>
        </w:rPr>
        <w:t>20</w:t>
      </w:r>
      <w:r w:rsidR="00A6133E" w:rsidRPr="007D3CE5">
        <w:rPr>
          <w:rFonts w:eastAsia="Arial" w:cs="Arial"/>
          <w:u w:val="single"/>
        </w:rPr>
        <w:t>29</w:t>
      </w:r>
      <w:r w:rsidR="00A6133E">
        <w:rPr>
          <w:rFonts w:eastAsia="Arial" w:cs="Arial"/>
        </w:rPr>
        <w:t xml:space="preserve"> </w:t>
      </w:r>
      <w:r w:rsidR="00AE7761">
        <w:rPr>
          <w:rFonts w:eastAsia="Arial" w:cs="Arial"/>
        </w:rPr>
        <w:t>(</w:t>
      </w:r>
      <w:r w:rsidR="00163ACD">
        <w:rPr>
          <w:rFonts w:eastAsia="Arial" w:cs="Arial"/>
        </w:rPr>
        <w:t xml:space="preserve">Open Calls for Security Research </w:t>
      </w:r>
      <w:r w:rsidR="00E060D4">
        <w:rPr>
          <w:rFonts w:eastAsia="Arial" w:cs="Arial"/>
        </w:rPr>
        <w:t>–</w:t>
      </w:r>
      <w:r w:rsidR="00163ACD">
        <w:rPr>
          <w:rFonts w:eastAsia="Arial" w:cs="Arial"/>
        </w:rPr>
        <w:t xml:space="preserve"> OPSEC</w:t>
      </w:r>
      <w:r w:rsidR="00E060D4">
        <w:rPr>
          <w:rFonts w:eastAsia="Arial" w:cs="Arial"/>
        </w:rPr>
        <w:t>, dále jen „Program“</w:t>
      </w:r>
      <w:r w:rsidR="00AE7761">
        <w:rPr>
          <w:rFonts w:eastAsia="Arial" w:cs="Arial"/>
        </w:rPr>
        <w:t>)</w:t>
      </w:r>
      <w:r w:rsidR="007A512B" w:rsidRPr="003B4314">
        <w:rPr>
          <w:rFonts w:cstheme="minorHAnsi"/>
        </w:rPr>
        <w:t>.</w:t>
      </w:r>
    </w:p>
    <w:p w14:paraId="3B9C7A97" w14:textId="4ADAE91A" w:rsidR="009F13AE" w:rsidRPr="00A837D4" w:rsidRDefault="009F13AE" w:rsidP="00A837D4">
      <w:pPr>
        <w:pStyle w:val="Nadpis2"/>
      </w:pPr>
      <w:bookmarkStart w:id="3" w:name="_Toc83296711"/>
      <w:r w:rsidRPr="00A837D4">
        <w:t>P</w:t>
      </w:r>
      <w:r w:rsidR="00D428AA" w:rsidRPr="00A837D4">
        <w:t>rávní rámec programu</w:t>
      </w:r>
      <w:bookmarkEnd w:id="3"/>
    </w:p>
    <w:p w14:paraId="7D17C56C" w14:textId="239DF7A1" w:rsidR="007A512B" w:rsidRPr="003B4314" w:rsidRDefault="00730CB3" w:rsidP="009B202E">
      <w:pPr>
        <w:suppressLineNumbers/>
        <w:spacing w:before="120" w:after="120"/>
        <w:rPr>
          <w:rFonts w:cstheme="minorHAnsi"/>
        </w:rPr>
      </w:pPr>
      <w:r w:rsidRPr="003B4314">
        <w:rPr>
          <w:rFonts w:eastAsia="Arial" w:cs="Arial"/>
        </w:rPr>
        <w:t>Program</w:t>
      </w:r>
      <w:r>
        <w:rPr>
          <w:rFonts w:cstheme="minorHAnsi"/>
        </w:rPr>
        <w:t>,</w:t>
      </w:r>
      <w:r w:rsidR="007A512B" w:rsidRPr="003B4314">
        <w:rPr>
          <w:rFonts w:cstheme="minorHAnsi"/>
        </w:rPr>
        <w:t xml:space="preserve"> realizovaný formou veřejných soutěží ve výzkumu, experimentálním vývoji a inovacích, je zpracován v souladu s platnou právní úpravou ČR, zejména dle zákona č. 130/2002 Sb., o podpoře výzkumu, experimentálního vývoje a inovací z veřejných prostředků a o změně některých souvisejících zákonů (zákon o podpoře výzkumu, experimentálního vývoje a inovací), ve znění pozdějších předpisů (dále jen „Zákon“) a dle Rámce Společenství pro státní podporu výzkumu, vývoje a inovací - Úřední věstník Evropské unie číslo 2014/C 198/01-29 (dále jen „Rámec“).</w:t>
      </w:r>
    </w:p>
    <w:p w14:paraId="13FDC6E2" w14:textId="765D9C85" w:rsidR="00B15030" w:rsidRPr="003B4314" w:rsidRDefault="007A512B" w:rsidP="009B202E">
      <w:pPr>
        <w:widowControl w:val="0"/>
        <w:suppressLineNumbers/>
        <w:autoSpaceDE w:val="0"/>
        <w:autoSpaceDN w:val="0"/>
        <w:adjustRightInd w:val="0"/>
        <w:spacing w:after="120"/>
        <w:rPr>
          <w:rFonts w:cstheme="minorHAnsi"/>
        </w:rPr>
      </w:pPr>
      <w:r w:rsidRPr="003B4314">
        <w:rPr>
          <w:rFonts w:cstheme="minorHAnsi"/>
        </w:rPr>
        <w:t>Program bude dále realizován podle Nařízení Komise (EU) č. 651/2014 ze dne 17. června 2014</w:t>
      </w:r>
      <w:r w:rsidR="00B15030" w:rsidRPr="003B4314">
        <w:rPr>
          <w:rFonts w:cstheme="minorHAnsi"/>
        </w:rPr>
        <w:t xml:space="preserve"> </w:t>
      </w:r>
      <w:r w:rsidR="00B15030" w:rsidRPr="003B4314">
        <w:rPr>
          <w:rFonts w:cs="TimesNewRomanPS-BoldMT"/>
          <w:bCs/>
        </w:rPr>
        <w:t xml:space="preserve">(GBER) </w:t>
      </w:r>
      <w:r w:rsidR="0075505C">
        <w:rPr>
          <w:rFonts w:cs="TimesNewRomanPS-BoldMT"/>
          <w:bCs/>
        </w:rPr>
        <w:t>(</w:t>
      </w:r>
      <w:r w:rsidR="008C7467">
        <w:rPr>
          <w:rFonts w:cs="TimesNewRomanPS-BoldMT"/>
          <w:bCs/>
        </w:rPr>
        <w:t xml:space="preserve">ve znění novely – Nařízení Komise č. 1084/2017, Nařízení Komise č. 972/2020 a Nařízení Komise </w:t>
      </w:r>
      <w:r w:rsidR="0075505C">
        <w:rPr>
          <w:rFonts w:cs="TimesNewRomanPS-BoldMT"/>
          <w:bCs/>
        </w:rPr>
        <w:br/>
      </w:r>
      <w:r w:rsidR="008C7467">
        <w:rPr>
          <w:rFonts w:cs="TimesNewRomanPS-BoldMT"/>
          <w:bCs/>
        </w:rPr>
        <w:t xml:space="preserve">č. 452/2021), </w:t>
      </w:r>
      <w:r w:rsidRPr="003B4314">
        <w:rPr>
          <w:rFonts w:cstheme="minorHAnsi"/>
        </w:rPr>
        <w:t xml:space="preserve">kterým se v souladu s články 107 a 108 Smlouvy prohlašují určité kategorie podpory za slučitelné s vnitřním trhem – Úřední věstník Evropské unie L 187, 26. června 2014 (dále jen „Nařízení“), zejm. čl. 25, 28 a 29; a podle ostatních souvisejících předpisů. </w:t>
      </w:r>
    </w:p>
    <w:p w14:paraId="09C38F51" w14:textId="77777777" w:rsidR="007A512B" w:rsidRPr="003B4314" w:rsidRDefault="007A512B" w:rsidP="009B202E">
      <w:pPr>
        <w:widowControl w:val="0"/>
        <w:suppressLineNumbers/>
        <w:autoSpaceDE w:val="0"/>
        <w:autoSpaceDN w:val="0"/>
        <w:adjustRightInd w:val="0"/>
        <w:spacing w:after="120"/>
        <w:rPr>
          <w:rFonts w:cs="TimesNewRomanPS-BoldMT"/>
          <w:b/>
          <w:bCs/>
        </w:rPr>
      </w:pPr>
      <w:r w:rsidRPr="003B4314">
        <w:rPr>
          <w:rFonts w:cstheme="minorHAnsi"/>
        </w:rPr>
        <w:t>Program je vyňat z oznamovací povinnosti podle čl. 108 odst. 3 Smlouvy o fungování Evropské unie, neboť splňuje podmínky Nařízení.</w:t>
      </w:r>
    </w:p>
    <w:p w14:paraId="2E5DC748" w14:textId="6B4B3E15" w:rsidR="00E614EA" w:rsidRPr="00A837D4" w:rsidRDefault="00E614EA" w:rsidP="00A837D4">
      <w:pPr>
        <w:pStyle w:val="Nadpis2"/>
      </w:pPr>
      <w:bookmarkStart w:id="4" w:name="_Toc83296712"/>
      <w:r w:rsidRPr="00A837D4">
        <w:t>I</w:t>
      </w:r>
      <w:r w:rsidR="00D428AA" w:rsidRPr="00A837D4">
        <w:t>dentifikační kód programu</w:t>
      </w:r>
      <w:bookmarkEnd w:id="4"/>
    </w:p>
    <w:p w14:paraId="5EB2D91D" w14:textId="77777777" w:rsidR="007A512B" w:rsidRPr="003B4314" w:rsidRDefault="007A512B" w:rsidP="009B202E">
      <w:pPr>
        <w:suppressLineNumbers/>
        <w:spacing w:after="120"/>
        <w:rPr>
          <w:highlight w:val="yellow"/>
        </w:rPr>
      </w:pPr>
      <w:r w:rsidRPr="003B4314">
        <w:t>Pro účely evidence v Informačním systému výzkumu, experimentálního vývoje a inovací byl Programu přidělen identifikační kód „</w:t>
      </w:r>
      <w:r w:rsidRPr="003B4314">
        <w:rPr>
          <w:highlight w:val="yellow"/>
        </w:rPr>
        <w:t>XX</w:t>
      </w:r>
      <w:r w:rsidRPr="003B4314">
        <w:t>“.</w:t>
      </w:r>
    </w:p>
    <w:p w14:paraId="0E402413" w14:textId="4AD5B856" w:rsidR="00E614EA" w:rsidRPr="00A837D4" w:rsidRDefault="00E614EA" w:rsidP="00A837D4">
      <w:pPr>
        <w:pStyle w:val="Nadpis2"/>
      </w:pPr>
      <w:bookmarkStart w:id="5" w:name="_Toc83296713"/>
      <w:r w:rsidRPr="00A837D4">
        <w:t>D</w:t>
      </w:r>
      <w:r w:rsidR="00D428AA" w:rsidRPr="00A837D4">
        <w:t>oba trvání a termíny vyhlášení programu</w:t>
      </w:r>
      <w:bookmarkEnd w:id="5"/>
    </w:p>
    <w:p w14:paraId="4DB4AE04" w14:textId="727442B8" w:rsidR="00473D92" w:rsidRPr="003B4314" w:rsidRDefault="0075505C" w:rsidP="009B202E">
      <w:pPr>
        <w:suppressLineNumbers/>
        <w:spacing w:after="120"/>
      </w:pPr>
      <w:r>
        <w:t>Termín vyhlášení P</w:t>
      </w:r>
      <w:r w:rsidR="00473D92" w:rsidRPr="003B4314">
        <w:t xml:space="preserve">rogramu: </w:t>
      </w:r>
      <w:r w:rsidR="00473D92" w:rsidRPr="003B4314">
        <w:rPr>
          <w:b/>
        </w:rPr>
        <w:t>1. 1. 20</w:t>
      </w:r>
      <w:r w:rsidR="00251F94" w:rsidRPr="003B4314">
        <w:rPr>
          <w:b/>
        </w:rPr>
        <w:t>2</w:t>
      </w:r>
      <w:r w:rsidR="005D44A9">
        <w:rPr>
          <w:b/>
        </w:rPr>
        <w:t>3</w:t>
      </w:r>
      <w:r w:rsidR="00712889" w:rsidRPr="003B4314">
        <w:rPr>
          <w:b/>
        </w:rPr>
        <w:t>.</w:t>
      </w:r>
    </w:p>
    <w:p w14:paraId="2784A360" w14:textId="0A435CFA" w:rsidR="00473D92" w:rsidRDefault="0075505C" w:rsidP="009B202E">
      <w:pPr>
        <w:suppressLineNumbers/>
        <w:spacing w:after="120"/>
        <w:rPr>
          <w:b/>
        </w:rPr>
      </w:pPr>
      <w:r>
        <w:t>Doba trvání P</w:t>
      </w:r>
      <w:r w:rsidR="00473D92" w:rsidRPr="003B4314">
        <w:t xml:space="preserve">rogramu: </w:t>
      </w:r>
      <w:r w:rsidR="00A6133E">
        <w:t>7</w:t>
      </w:r>
      <w:r w:rsidR="004D0FBD" w:rsidRPr="003B4314">
        <w:t xml:space="preserve"> </w:t>
      </w:r>
      <w:r w:rsidR="00473D92" w:rsidRPr="003B4314">
        <w:t xml:space="preserve">let, tj. do </w:t>
      </w:r>
      <w:r w:rsidR="00473D92" w:rsidRPr="003B4314">
        <w:rPr>
          <w:b/>
        </w:rPr>
        <w:t>31. 12. 20</w:t>
      </w:r>
      <w:r w:rsidR="00A6133E">
        <w:rPr>
          <w:b/>
        </w:rPr>
        <w:t>29</w:t>
      </w:r>
      <w:r w:rsidR="00712889" w:rsidRPr="003B4314">
        <w:rPr>
          <w:b/>
        </w:rPr>
        <w:t>.</w:t>
      </w:r>
    </w:p>
    <w:p w14:paraId="267C5E23" w14:textId="38B1EED3" w:rsidR="00177C69" w:rsidRPr="00E060D4" w:rsidRDefault="00093D5B" w:rsidP="00E060D4">
      <w:pPr>
        <w:suppressLineNumbers/>
        <w:spacing w:before="120" w:after="120"/>
        <w:rPr>
          <w:b/>
        </w:rPr>
      </w:pPr>
      <w:r w:rsidRPr="0056640A">
        <w:rPr>
          <w:rStyle w:val="Siln"/>
          <w:b w:val="0"/>
        </w:rPr>
        <w:t xml:space="preserve">Programy veřejné soutěže mají v systému účelové podpory bezpečnostního výzkumu stabilizační úlohu, proto </w:t>
      </w:r>
      <w:r>
        <w:rPr>
          <w:rStyle w:val="Siln"/>
          <w:b w:val="0"/>
        </w:rPr>
        <w:t>je doba realizace Programu 8 let</w:t>
      </w:r>
      <w:r w:rsidRPr="0056640A">
        <w:rPr>
          <w:rStyle w:val="Siln"/>
          <w:b w:val="0"/>
        </w:rPr>
        <w:t>, přičemž platí, že délka projektů nepřekročí 4 roky, aby nedocházelo ke snižování bezpečnostního přínosu z výsledků.</w:t>
      </w:r>
      <w:r w:rsidRPr="0056640A">
        <w:rPr>
          <w:rFonts w:cstheme="minorHAnsi"/>
        </w:rPr>
        <w:t xml:space="preserve"> </w:t>
      </w:r>
      <w:r w:rsidRPr="009B202E">
        <w:t>Délka programových projektů je</w:t>
      </w:r>
      <w:r>
        <w:t xml:space="preserve"> proto</w:t>
      </w:r>
      <w:r w:rsidRPr="009B202E">
        <w:t xml:space="preserve"> stanovena na 24–48 měsíců. </w:t>
      </w:r>
      <w:r w:rsidR="0075505C">
        <w:t>Základním nástrojem realizace P</w:t>
      </w:r>
      <w:r w:rsidR="00A050AF">
        <w:t>rogramu je jednostupňová veřejná soutěž. Vzhledem ke specifickému charakteru bezpečnostního výzkumu předpokládá poskytovatel možnost využití dalších instrumentů Zákon</w:t>
      </w:r>
      <w:r w:rsidR="00064954">
        <w:t>a v podobě dvoustupňové soutěže</w:t>
      </w:r>
      <w:r w:rsidR="00A050AF">
        <w:t xml:space="preserve"> nebo postupu podle § 7 odst. 4, resp. § 17 odst. 4</w:t>
      </w:r>
      <w:r w:rsidR="0008692B">
        <w:t xml:space="preserve"> Zákona</w:t>
      </w:r>
      <w:r w:rsidR="0008692B" w:rsidRPr="00E060D4">
        <w:rPr>
          <w:b/>
        </w:rPr>
        <w:t xml:space="preserve">. </w:t>
      </w:r>
      <w:r w:rsidR="00E060D4" w:rsidRPr="00E060D4">
        <w:rPr>
          <w:b/>
        </w:rPr>
        <w:t xml:space="preserve"> </w:t>
      </w:r>
      <w:r w:rsidR="00177C69" w:rsidRPr="00E060D4">
        <w:rPr>
          <w:b/>
        </w:rPr>
        <w:t xml:space="preserve">Vyhlášení </w:t>
      </w:r>
      <w:r w:rsidR="009B202E" w:rsidRPr="00E060D4">
        <w:rPr>
          <w:b/>
        </w:rPr>
        <w:t xml:space="preserve">1. </w:t>
      </w:r>
      <w:r w:rsidR="00177C69" w:rsidRPr="00E060D4">
        <w:rPr>
          <w:b/>
        </w:rPr>
        <w:t>veřejn</w:t>
      </w:r>
      <w:r w:rsidR="009B202E" w:rsidRPr="00E060D4">
        <w:rPr>
          <w:b/>
        </w:rPr>
        <w:t>é soutěže</w:t>
      </w:r>
      <w:r w:rsidR="00177C69" w:rsidRPr="00E060D4">
        <w:rPr>
          <w:b/>
        </w:rPr>
        <w:t xml:space="preserve"> se předpokládá v roce 202</w:t>
      </w:r>
      <w:r w:rsidR="005D44A9" w:rsidRPr="00E060D4">
        <w:rPr>
          <w:b/>
        </w:rPr>
        <w:t>2</w:t>
      </w:r>
      <w:r w:rsidR="0075505C">
        <w:rPr>
          <w:b/>
        </w:rPr>
        <w:t>. Celkově se v P</w:t>
      </w:r>
      <w:r w:rsidR="00177C69" w:rsidRPr="00E060D4">
        <w:rPr>
          <w:b/>
        </w:rPr>
        <w:t xml:space="preserve">rogramu předpokládá vyhlášení </w:t>
      </w:r>
      <w:r w:rsidR="003B4314" w:rsidRPr="00E060D4">
        <w:rPr>
          <w:b/>
        </w:rPr>
        <w:t xml:space="preserve">minimálně </w:t>
      </w:r>
      <w:r w:rsidR="00177C69" w:rsidRPr="00E060D4">
        <w:rPr>
          <w:b/>
        </w:rPr>
        <w:t xml:space="preserve">3 veřejných soutěží. </w:t>
      </w:r>
      <w:r w:rsidR="004D0FBD" w:rsidRPr="00E060D4">
        <w:rPr>
          <w:b/>
        </w:rPr>
        <w:t>Poskytovatel předběžně předpokládá vyhlášení dalších soutěží v letech 2024 a 202</w:t>
      </w:r>
      <w:r w:rsidR="00A6133E">
        <w:rPr>
          <w:b/>
        </w:rPr>
        <w:t>5</w:t>
      </w:r>
      <w:r w:rsidR="004D0FBD" w:rsidRPr="00E060D4">
        <w:rPr>
          <w:b/>
        </w:rPr>
        <w:t>.</w:t>
      </w:r>
      <w:r w:rsidR="003E0D0E" w:rsidRPr="00E060D4">
        <w:rPr>
          <w:b/>
        </w:rPr>
        <w:t xml:space="preserve"> </w:t>
      </w:r>
      <w:r w:rsidR="00177C69" w:rsidRPr="00E060D4">
        <w:rPr>
          <w:b/>
        </w:rPr>
        <w:t xml:space="preserve"> </w:t>
      </w:r>
    </w:p>
    <w:p w14:paraId="484B620C" w14:textId="32BDB33D" w:rsidR="009B202E" w:rsidRPr="00A837D4" w:rsidRDefault="00CB510F" w:rsidP="00A837D4">
      <w:pPr>
        <w:pStyle w:val="Nadpis2"/>
      </w:pPr>
      <w:bookmarkStart w:id="6" w:name="_Toc506147410"/>
      <w:bookmarkStart w:id="7" w:name="_Toc83296714"/>
      <w:r w:rsidRPr="00A837D4">
        <w:t>Kategorizace charakteru výzkumu</w:t>
      </w:r>
      <w:bookmarkEnd w:id="6"/>
      <w:bookmarkEnd w:id="7"/>
    </w:p>
    <w:p w14:paraId="73D77AFE" w14:textId="21E38CCA" w:rsidR="00E060D4" w:rsidRDefault="009B202E" w:rsidP="004B6BFD">
      <w:r w:rsidRPr="00B44192">
        <w:t>Program podporuje projekty, které mají charakter aplikovaného výzkumu nebo experimentálního vývoje. Předmětem výzkumu mohou být i utajované informace a zvláštní skutečnosti</w:t>
      </w:r>
      <w:r w:rsidR="00B44192" w:rsidRPr="00B44192">
        <w:t xml:space="preserve"> podle zvláštních právních předpisů</w:t>
      </w:r>
      <w:r w:rsidR="00E060D4">
        <w:rPr>
          <w:rStyle w:val="Znakapoznpodarou"/>
        </w:rPr>
        <w:footnoteReference w:id="1"/>
      </w:r>
      <w:r w:rsidR="00E060D4">
        <w:t xml:space="preserve">. </w:t>
      </w:r>
      <w:r w:rsidRPr="00B44192">
        <w:t>Podmínky k získání finanční podpory budou</w:t>
      </w:r>
      <w:r w:rsidRPr="009B202E">
        <w:t xml:space="preserve"> podrobně popsány v zadávací </w:t>
      </w:r>
      <w:r w:rsidRPr="005824F2">
        <w:t xml:space="preserve">dokumentaci </w:t>
      </w:r>
      <w:r w:rsidR="00A86EE6">
        <w:t xml:space="preserve">jednotlivých veřejných soutěží </w:t>
      </w:r>
      <w:r w:rsidRPr="005824F2">
        <w:t>Programu a v</w:t>
      </w:r>
      <w:r w:rsidRPr="009B202E">
        <w:t> návazných dokumentech.</w:t>
      </w:r>
    </w:p>
    <w:p w14:paraId="0EFD3BC8" w14:textId="34984915" w:rsidR="009B202E" w:rsidRDefault="00F82B61" w:rsidP="004B6BFD">
      <w:r>
        <w:lastRenderedPageBreak/>
        <w:t xml:space="preserve">Program bude podporovat 3 charakteristické typy projektů, odpovídající rozdílné očekávané vyspělosti výsledků. </w:t>
      </w:r>
      <w:r w:rsidR="006F610F">
        <w:t xml:space="preserve">Blíže viz kap. 6. </w:t>
      </w:r>
    </w:p>
    <w:p w14:paraId="23EB1DD5" w14:textId="3291F0FF" w:rsidR="00E614EA" w:rsidRPr="00A837D4" w:rsidRDefault="00E614EA" w:rsidP="00A837D4">
      <w:pPr>
        <w:pStyle w:val="Nadpis2"/>
      </w:pPr>
      <w:bookmarkStart w:id="8" w:name="_Toc83296715"/>
      <w:r w:rsidRPr="00A837D4">
        <w:t>P</w:t>
      </w:r>
      <w:r w:rsidR="00D428AA" w:rsidRPr="00A837D4">
        <w:t>oskytovatel</w:t>
      </w:r>
      <w:bookmarkEnd w:id="8"/>
    </w:p>
    <w:p w14:paraId="0DE4345F" w14:textId="77777777" w:rsidR="00C7751F" w:rsidRDefault="001B141A" w:rsidP="00C7751F">
      <w:pPr>
        <w:suppressLineNumbers/>
        <w:spacing w:after="120"/>
      </w:pPr>
      <w:r w:rsidRPr="003B4314">
        <w:t>Poskytovatelem veřejné podpory v rámci Programu je Ministerstvo vnitra.</w:t>
      </w:r>
    </w:p>
    <w:p w14:paraId="1F0E6CBE" w14:textId="23D72534" w:rsidR="00C7751F" w:rsidRPr="00A837D4" w:rsidRDefault="00E614EA" w:rsidP="004B6BFD">
      <w:pPr>
        <w:pStyle w:val="Nadpis1"/>
      </w:pPr>
      <w:bookmarkStart w:id="9" w:name="_Toc83296716"/>
      <w:r w:rsidRPr="00A837D4">
        <w:t>Poslání a odůvodnění programu</w:t>
      </w:r>
      <w:bookmarkEnd w:id="9"/>
    </w:p>
    <w:p w14:paraId="076E741E" w14:textId="77777777" w:rsidR="00C7751F" w:rsidRPr="00C7751F" w:rsidRDefault="00C7751F" w:rsidP="00C7751F">
      <w:pPr>
        <w:suppressLineNumbers/>
        <w:spacing w:after="120"/>
        <w:rPr>
          <w:b/>
        </w:rPr>
      </w:pPr>
      <w:r w:rsidRPr="00C7751F">
        <w:rPr>
          <w:rFonts w:eastAsia="Calibri-OneByteIdentityH" w:cstheme="minorHAnsi"/>
        </w:rPr>
        <w:t>Bezpečnostní výzkum představuje svébytnou agendu na pomezí vědní a bezpečnostní</w:t>
      </w:r>
      <w:r>
        <w:rPr>
          <w:rFonts w:eastAsia="Calibri-OneByteIdentityH" w:cstheme="minorHAnsi"/>
        </w:rPr>
        <w:t xml:space="preserve"> politiky, </w:t>
      </w:r>
      <w:r w:rsidRPr="00C7751F">
        <w:rPr>
          <w:rFonts w:eastAsia="Calibri-OneByteIdentityH" w:cstheme="minorHAnsi"/>
        </w:rPr>
        <w:t>přičemž</w:t>
      </w:r>
      <w:r>
        <w:rPr>
          <w:rFonts w:eastAsia="Calibri-OneByteIdentityH" w:cstheme="minorHAnsi"/>
        </w:rPr>
        <w:t xml:space="preserve"> </w:t>
      </w:r>
      <w:r w:rsidRPr="00C7751F">
        <w:rPr>
          <w:rFonts w:eastAsia="Calibri-OneByteIdentityH" w:cstheme="minorHAnsi"/>
        </w:rPr>
        <w:t>z hlediska každé z nich má široký potenciál, ale také významné limity. Obsahem té</w:t>
      </w:r>
      <w:r>
        <w:rPr>
          <w:rFonts w:eastAsia="Calibri-OneByteIdentityH" w:cstheme="minorHAnsi"/>
        </w:rPr>
        <w:t xml:space="preserve">to kapitoly je proto </w:t>
      </w:r>
      <w:r w:rsidRPr="00C7751F">
        <w:rPr>
          <w:rFonts w:eastAsia="Calibri-OneByteIdentityH" w:cstheme="minorHAnsi"/>
        </w:rPr>
        <w:t>objasnění pozice Programu v portfoliu programových nástrojů Ministerstva vnitra, vymezení</w:t>
      </w:r>
      <w:r>
        <w:rPr>
          <w:rFonts w:eastAsia="Calibri-OneByteIdentityH" w:cstheme="minorHAnsi"/>
        </w:rPr>
        <w:t xml:space="preserve"> </w:t>
      </w:r>
      <w:r w:rsidRPr="00C7751F">
        <w:rPr>
          <w:rFonts w:eastAsia="Calibri-OneByteIdentityH" w:cstheme="minorHAnsi"/>
        </w:rPr>
        <w:t>vůč</w:t>
      </w:r>
      <w:r>
        <w:rPr>
          <w:rFonts w:eastAsia="Calibri-OneByteIdentityH" w:cstheme="minorHAnsi"/>
        </w:rPr>
        <w:t xml:space="preserve">i </w:t>
      </w:r>
      <w:r w:rsidRPr="00C7751F">
        <w:rPr>
          <w:rFonts w:eastAsia="Calibri-OneByteIdentityH" w:cstheme="minorHAnsi"/>
        </w:rPr>
        <w:t>obdobným programovým nástrojům ostatních poskytovatelů a identifikace vazeb a přínosů</w:t>
      </w:r>
      <w:r>
        <w:rPr>
          <w:rFonts w:eastAsia="Calibri-OneByteIdentityH" w:cstheme="minorHAnsi"/>
        </w:rPr>
        <w:t xml:space="preserve"> pro </w:t>
      </w:r>
      <w:r w:rsidRPr="00C7751F">
        <w:rPr>
          <w:rFonts w:eastAsia="Calibri-OneByteIdentityH" w:cstheme="minorHAnsi"/>
        </w:rPr>
        <w:t>plnění</w:t>
      </w:r>
      <w:r>
        <w:rPr>
          <w:rFonts w:eastAsia="Calibri-OneByteIdentityH" w:cstheme="minorHAnsi"/>
        </w:rPr>
        <w:t xml:space="preserve"> </w:t>
      </w:r>
      <w:r w:rsidRPr="00C7751F">
        <w:rPr>
          <w:rFonts w:eastAsia="Calibri-OneByteIdentityH" w:cstheme="minorHAnsi"/>
        </w:rPr>
        <w:t>cílů, stanovených strategickými dokumenty bezpečnostní a vědní politiky. Vlastní cí</w:t>
      </w:r>
      <w:r>
        <w:rPr>
          <w:rFonts w:eastAsia="Calibri-OneByteIdentityH" w:cstheme="minorHAnsi"/>
        </w:rPr>
        <w:t xml:space="preserve">le Programu jsou </w:t>
      </w:r>
      <w:r w:rsidRPr="00C7751F">
        <w:rPr>
          <w:rFonts w:eastAsia="Calibri-OneByteIdentityH" w:cstheme="minorHAnsi"/>
        </w:rPr>
        <w:t>uvedeny v kapitole 3.</w:t>
      </w:r>
    </w:p>
    <w:p w14:paraId="33695421" w14:textId="1557AE77" w:rsidR="00B36F2A" w:rsidRPr="00A837D4" w:rsidRDefault="00DF3224" w:rsidP="004B6BFD">
      <w:pPr>
        <w:pStyle w:val="Nadpis2"/>
        <w:spacing w:after="0"/>
      </w:pPr>
      <w:bookmarkStart w:id="10" w:name="_Toc83296717"/>
      <w:r w:rsidRPr="00A837D4">
        <w:t>Poslání programu</w:t>
      </w:r>
      <w:bookmarkEnd w:id="10"/>
    </w:p>
    <w:p w14:paraId="6ACD366D" w14:textId="24953A39" w:rsidR="00C54E04" w:rsidRDefault="00C54E04" w:rsidP="004B6BFD">
      <w:pPr>
        <w:rPr>
          <w:rFonts w:eastAsia="Calibri-OneByteIdentityH"/>
        </w:rPr>
      </w:pPr>
      <w:r w:rsidRPr="00C54E04">
        <w:rPr>
          <w:rFonts w:eastAsia="Calibri-OneByteIdentityH"/>
        </w:rPr>
        <w:t>Posláním Programu je podpořit výzkumné a vývojové aktivity v oblasti bezpečnosti státu a jeho občanů v souladu s charakteristickými potřebami bezpečnostního systému</w:t>
      </w:r>
      <w:r w:rsidR="00064954">
        <w:rPr>
          <w:rFonts w:ascii="Calibri" w:eastAsia="Times New Roman" w:hAnsi="Calibri" w:cs="Times New Roman"/>
        </w:rPr>
        <w:t xml:space="preserve"> a společenskými potřebami </w:t>
      </w:r>
      <w:r w:rsidRPr="00C54E04">
        <w:rPr>
          <w:rFonts w:ascii="Calibri" w:eastAsia="Times New Roman" w:hAnsi="Calibri" w:cs="Times New Roman"/>
        </w:rPr>
        <w:t>systémového charakteru</w:t>
      </w:r>
      <w:r>
        <w:rPr>
          <w:rFonts w:ascii="Calibri" w:eastAsia="Times New Roman" w:hAnsi="Calibri" w:cs="Times New Roman"/>
        </w:rPr>
        <w:t xml:space="preserve"> v oblasti bezpečnosti</w:t>
      </w:r>
      <w:r w:rsidRPr="00C54E04">
        <w:rPr>
          <w:rFonts w:eastAsia="Calibri-OneByteIdentityH"/>
        </w:rPr>
        <w:t>, jak je vymezují platné strategické a koncepční materiály bezpečnostní politiky, které shrnuje Meziresortní koncepce podpory bezpečnostního výzkumu ČR 2017–2023</w:t>
      </w:r>
      <w:r>
        <w:rPr>
          <w:rStyle w:val="Znakapoznpodarou"/>
          <w:rFonts w:eastAsia="Calibri-OneByteIdentityH" w:cstheme="minorHAnsi"/>
          <w:b/>
        </w:rPr>
        <w:footnoteReference w:id="2"/>
      </w:r>
      <w:r w:rsidRPr="00C54E04">
        <w:rPr>
          <w:rFonts w:eastAsia="Calibri-OneByteIdentityH"/>
        </w:rPr>
        <w:t xml:space="preserve"> (dále jen „</w:t>
      </w:r>
      <w:r w:rsidR="0075505C">
        <w:rPr>
          <w:rFonts w:eastAsia="Calibri-OneByteIdentityH"/>
        </w:rPr>
        <w:t>MKBV2017+“). Zároveň je P</w:t>
      </w:r>
      <w:r w:rsidRPr="00C54E04">
        <w:rPr>
          <w:rFonts w:eastAsia="Calibri-OneByteIdentityH"/>
        </w:rPr>
        <w:t>rogram nástrojem plnění Národní politiky výzkumu, vývoje a inovaci</w:t>
      </w:r>
      <w:r w:rsidR="007119EB">
        <w:rPr>
          <w:rFonts w:eastAsia="Calibri-OneByteIdentityH"/>
        </w:rPr>
        <w:t xml:space="preserve"> 2021+</w:t>
      </w:r>
      <w:r>
        <w:rPr>
          <w:rStyle w:val="Znakapoznpodarou"/>
          <w:rFonts w:eastAsia="Calibri-OneByteIdentityH" w:cstheme="minorHAnsi"/>
          <w:b/>
        </w:rPr>
        <w:footnoteReference w:id="3"/>
      </w:r>
      <w:r w:rsidRPr="00C54E04">
        <w:rPr>
          <w:rFonts w:eastAsia="Calibri-OneByteIdentityH"/>
        </w:rPr>
        <w:t xml:space="preserve"> (d</w:t>
      </w:r>
      <w:r w:rsidRPr="009F3004">
        <w:rPr>
          <w:rFonts w:eastAsia="Calibri-OneByteIdentityH"/>
        </w:rPr>
        <w:t>ále jen „NP VaVaI</w:t>
      </w:r>
      <w:r w:rsidR="00E060D4">
        <w:rPr>
          <w:rFonts w:eastAsia="Calibri-OneByteIdentityH"/>
        </w:rPr>
        <w:t>“</w:t>
      </w:r>
      <w:r w:rsidRPr="009F3004">
        <w:rPr>
          <w:rFonts w:eastAsia="Calibri-OneByteIdentityH"/>
        </w:rPr>
        <w:t>). Program svou cílovou skupinou a zaměřením dále přispívá k plnění deklarovaných ambicí Inovační strategie ČR</w:t>
      </w:r>
      <w:r w:rsidRPr="009F3004">
        <w:rPr>
          <w:rStyle w:val="Znakapoznpodarou"/>
          <w:rFonts w:eastAsia="Calibri-OneByteIdentityH" w:cstheme="minorHAnsi"/>
          <w:b/>
        </w:rPr>
        <w:footnoteReference w:id="4"/>
      </w:r>
      <w:r w:rsidRPr="009F3004">
        <w:rPr>
          <w:rFonts w:eastAsia="Calibri-OneByteIdentityH"/>
        </w:rPr>
        <w:t>.</w:t>
      </w:r>
      <w:r w:rsidR="009F3004" w:rsidRPr="009F3004">
        <w:rPr>
          <w:rFonts w:eastAsia="Calibri-OneByteIdentityH"/>
        </w:rPr>
        <w:t xml:space="preserve"> Sekundárně naplňuje i další strategické a koncepční dokumenty jako je např. </w:t>
      </w:r>
      <w:r w:rsidR="009F3004" w:rsidRPr="009F3004">
        <w:t>Národní strategie umělé inteligence v</w:t>
      </w:r>
      <w:r w:rsidR="009F3004">
        <w:t> </w:t>
      </w:r>
      <w:r w:rsidR="009F3004" w:rsidRPr="009F3004">
        <w:t>ČR</w:t>
      </w:r>
      <w:r w:rsidR="009F3004">
        <w:t>.</w:t>
      </w:r>
    </w:p>
    <w:p w14:paraId="5DADD587" w14:textId="66559865" w:rsidR="0056640A" w:rsidRDefault="007B2486" w:rsidP="007B2486">
      <w:pPr>
        <w:suppressLineNumbers/>
        <w:spacing w:before="120" w:after="120"/>
        <w:rPr>
          <w:bCs/>
        </w:rPr>
      </w:pPr>
      <w:r w:rsidRPr="0056640A">
        <w:rPr>
          <w:rStyle w:val="Siln"/>
          <w:b w:val="0"/>
        </w:rPr>
        <w:t xml:space="preserve">Program </w:t>
      </w:r>
      <w:r w:rsidR="00064954">
        <w:rPr>
          <w:rStyle w:val="Siln"/>
          <w:b w:val="0"/>
        </w:rPr>
        <w:t xml:space="preserve">plní </w:t>
      </w:r>
      <w:r w:rsidR="009F2958" w:rsidRPr="0056640A">
        <w:rPr>
          <w:bCs/>
        </w:rPr>
        <w:t>v portfoliu nástrojů podpory bezpečnostního výzkumu, experimentálního vývoje a inovací (dále jen „bezpečnostní výzkum“)</w:t>
      </w:r>
      <w:r w:rsidR="00E85887">
        <w:rPr>
          <w:bCs/>
        </w:rPr>
        <w:t xml:space="preserve"> páteřní roli. Jde o třetí generaci základního nástroje celého systému. I v třetí generaci je podpora otevřené soutěže relevantní, protože charakteristiky trhu bezpečnostních inovací </w:t>
      </w:r>
      <w:r w:rsidR="00064954">
        <w:rPr>
          <w:bCs/>
        </w:rPr>
        <w:t xml:space="preserve">se </w:t>
      </w:r>
      <w:r w:rsidR="00E85887">
        <w:rPr>
          <w:bCs/>
        </w:rPr>
        <w:t>dlouhodobě příliš nemění. S tím je spojená potřeba mainstreamingu bezpečnostních témat v inovační sféře.</w:t>
      </w:r>
    </w:p>
    <w:p w14:paraId="27757563" w14:textId="362BE0E2" w:rsidR="00E85887" w:rsidRDefault="00DD5EB4" w:rsidP="007B2486">
      <w:pPr>
        <w:suppressLineNumbers/>
        <w:spacing w:before="120" w:after="120"/>
        <w:rPr>
          <w:bCs/>
        </w:rPr>
      </w:pPr>
      <w:r>
        <w:rPr>
          <w:bCs/>
        </w:rPr>
        <w:t>Trh bezpečnostních inovací je charakteristický před</w:t>
      </w:r>
      <w:r w:rsidR="0075505C">
        <w:rPr>
          <w:bCs/>
        </w:rPr>
        <w:t>evším vysokou mírou fragmentace (především v evropském kontextu)</w:t>
      </w:r>
      <w:r>
        <w:rPr>
          <w:bCs/>
        </w:rPr>
        <w:t xml:space="preserve"> dominantní rolí veřejných subjektů v roli konečných uživatelů – zákazníků, širokým spektrem relevantních problematik</w:t>
      </w:r>
      <w:r w:rsidR="00B42613">
        <w:rPr>
          <w:bCs/>
        </w:rPr>
        <w:t>, které generují vysoce specializované požadavky na nasazované technologie</w:t>
      </w:r>
      <w:r>
        <w:rPr>
          <w:bCs/>
        </w:rPr>
        <w:t xml:space="preserve">, vysokou mírou konzervativismu v přístupu k akvizicím a obecně ke strategickému rozvoji, ve kterém navíc (min v celoevropském měřítku) v podstatě chybí </w:t>
      </w:r>
      <w:r w:rsidR="00B42613">
        <w:rPr>
          <w:bCs/>
        </w:rPr>
        <w:t xml:space="preserve">dlouhodobý výhled a plánování schopností. V několika aspektech se tento segment liší i od obranného trhu. Jde o trh, kde je investice do vývoje vysoce riziková, zvláště u specializovaných inovací. </w:t>
      </w:r>
    </w:p>
    <w:p w14:paraId="7AA05D71" w14:textId="3820C471" w:rsidR="00B42613" w:rsidRDefault="00B42613" w:rsidP="007B2486">
      <w:pPr>
        <w:suppressLineNumbers/>
        <w:spacing w:before="120" w:after="120"/>
        <w:rPr>
          <w:bCs/>
        </w:rPr>
      </w:pPr>
      <w:r>
        <w:rPr>
          <w:bCs/>
        </w:rPr>
        <w:t>Krom</w:t>
      </w:r>
      <w:r w:rsidR="00064954">
        <w:rPr>
          <w:bCs/>
        </w:rPr>
        <w:t>ě</w:t>
      </w:r>
      <w:r>
        <w:rPr>
          <w:bCs/>
        </w:rPr>
        <w:t xml:space="preserve"> specifické oblasti kyberbezpečnosti a v některých velmi omezených segmentech také CBRN ochrany nejde o trh svébytný, charakteristický specializovanými dodavateli (mj. z výše uvedeného důvodu vysoké rizikovosti). Uvedené problematiky se vymykají obecnému trendu </w:t>
      </w:r>
      <w:r w:rsidR="00163ACD">
        <w:rPr>
          <w:bCs/>
        </w:rPr>
        <w:t>především</w:t>
      </w:r>
      <w:r w:rsidR="00064954">
        <w:rPr>
          <w:bCs/>
        </w:rPr>
        <w:t xml:space="preserve"> proto</w:t>
      </w:r>
      <w:r w:rsidR="00163ACD">
        <w:rPr>
          <w:bCs/>
        </w:rPr>
        <w:t>, že</w:t>
      </w:r>
      <w:r>
        <w:rPr>
          <w:bCs/>
        </w:rPr>
        <w:t xml:space="preserve"> reprezentují typické příklady dvojího užití, civilního bezpečnostního, stejně tak vojenského. Hlavní roli v bezpečnostním průmyslu hr</w:t>
      </w:r>
      <w:r w:rsidR="00064954">
        <w:rPr>
          <w:bCs/>
        </w:rPr>
        <w:t xml:space="preserve">ají podniky obranného průmyslu </w:t>
      </w:r>
      <w:r>
        <w:rPr>
          <w:bCs/>
        </w:rPr>
        <w:t>s adaptovanými technologiemi</w:t>
      </w:r>
      <w:r w:rsidR="00401726">
        <w:rPr>
          <w:bCs/>
        </w:rPr>
        <w:t>, v menší míře</w:t>
      </w:r>
      <w:r>
        <w:rPr>
          <w:bCs/>
        </w:rPr>
        <w:t xml:space="preserve"> naopak firmy orientované na zcela civilní produkty, které ale mohou mít po modifikaci v bezpečnostní oblasti relevanci. </w:t>
      </w:r>
    </w:p>
    <w:p w14:paraId="6BC7B66E" w14:textId="48D985C7" w:rsidR="00537B27" w:rsidRDefault="00537B27" w:rsidP="007B2486">
      <w:pPr>
        <w:suppressLineNumbers/>
        <w:spacing w:before="120" w:after="120"/>
        <w:rPr>
          <w:bCs/>
        </w:rPr>
      </w:pPr>
      <w:r>
        <w:rPr>
          <w:bCs/>
        </w:rPr>
        <w:t xml:space="preserve">Uvedená rizikovost představuje zcela zásadní inovační bariéru, protože je takřka prohibitivní pro aktéry tzv. netradiční, kteří ale čím dál častěji mohou s jistou modifikací zajímavé bezpečnostní inovace nabídnout. Pro aktéry obranného průmyslu je přinejmenším demotivující, protože „zcivilňování“ </w:t>
      </w:r>
      <w:r>
        <w:rPr>
          <w:bCs/>
        </w:rPr>
        <w:lastRenderedPageBreak/>
        <w:t xml:space="preserve">vojenských technologií není, s ohledem na mnohdy až překvapivé rozdíly mezi uživatelskými potřebami, příliš ekonomicky efektivní. Z toho důvodu panuje v EU, USA i v řadě dalších zemí (viz. „Současný stav zajišťování BV v ČR i v zahraničí“) konsensus, že efektivní bezpečnostní inovace mohou být motivovány pouze s aktivním zapojením státu. </w:t>
      </w:r>
    </w:p>
    <w:p w14:paraId="6C037AE0" w14:textId="22CF4C3A" w:rsidR="00537B27" w:rsidRDefault="00064954" w:rsidP="007B2486">
      <w:pPr>
        <w:suppressLineNumbers/>
        <w:spacing w:before="120" w:after="120"/>
        <w:rPr>
          <w:bCs/>
        </w:rPr>
      </w:pPr>
      <w:r>
        <w:rPr>
          <w:bCs/>
        </w:rPr>
        <w:t xml:space="preserve">Zároveň </w:t>
      </w:r>
      <w:r w:rsidR="00401726">
        <w:rPr>
          <w:bCs/>
        </w:rPr>
        <w:t>zajišťování bezpečnosti je stále více a více záležitostí technologickou. Rapidní růst závislosti společnosti na technologiích prakticky ve všech s</w:t>
      </w:r>
      <w:r>
        <w:rPr>
          <w:bCs/>
        </w:rPr>
        <w:t>férách moderního života přinesl</w:t>
      </w:r>
      <w:r w:rsidR="00401726">
        <w:rPr>
          <w:bCs/>
        </w:rPr>
        <w:t xml:space="preserve"> zásadní změny také v hrozbách, kterým společnost tradičně čelí. V oblasti kriminality a organizovaného zločinu jde o trend zvlášť patrný, protože jde o oblast lidské činnosti takřka stejně dynamickou v aplikaci inovací, jako ostatní sek</w:t>
      </w:r>
      <w:r>
        <w:rPr>
          <w:bCs/>
        </w:rPr>
        <w:t>tory legální ekonomiky. Obdobně</w:t>
      </w:r>
      <w:r w:rsidR="00401726">
        <w:rPr>
          <w:bCs/>
        </w:rPr>
        <w:t xml:space="preserve"> současné hrozby</w:t>
      </w:r>
      <w:r>
        <w:rPr>
          <w:bCs/>
        </w:rPr>
        <w:t>,</w:t>
      </w:r>
      <w:r w:rsidR="00401726">
        <w:rPr>
          <w:bCs/>
        </w:rPr>
        <w:t xml:space="preserve"> jako masová nelegální migrace, terorismus nebo hrozby tzv. hybridního charakteru mají svou zásadní technologickou dimenzi, stejně jako boj proti nim. Technologie také přináší zcela nové možnosti efektivnějšího řešení méně dynamických</w:t>
      </w:r>
      <w:r>
        <w:rPr>
          <w:bCs/>
        </w:rPr>
        <w:t>,</w:t>
      </w:r>
      <w:r w:rsidR="00401726">
        <w:rPr>
          <w:bCs/>
        </w:rPr>
        <w:t xml:space="preserve"> ale mnohdy stejně závažných hrozeb přírodního původu, jejichž význam podtrhují klimatické změny. Na pomezí obou těchto celků potom stojí průmyslové havárie a selhání klíčových technologií v průmyslu. </w:t>
      </w:r>
    </w:p>
    <w:p w14:paraId="03BC8DD0" w14:textId="19E022E4" w:rsidR="00401726" w:rsidRDefault="00537B27" w:rsidP="007B2486">
      <w:pPr>
        <w:suppressLineNumbers/>
        <w:spacing w:before="120" w:after="120"/>
        <w:rPr>
          <w:bCs/>
        </w:rPr>
      </w:pPr>
      <w:r>
        <w:rPr>
          <w:bCs/>
        </w:rPr>
        <w:t xml:space="preserve">Je tedy zřejmé, že i bezpečnostní sektor se může velmi efektivně rozvíjet v případě, že budou adekvátní inovace dostupné. Dosavadní konzervativní pojetí reakce na novou dynamiku hrozeb v podobě navýšení personálních stavů a stavů techniky již nemůže (minimálně v reakci na řadu závažných hrozeb) dostačovat. Poptávka se ale míjí s nabídkou. </w:t>
      </w:r>
    </w:p>
    <w:p w14:paraId="46A74E68" w14:textId="7C33989C" w:rsidR="00093D5B" w:rsidRPr="0056640A" w:rsidRDefault="0075505C" w:rsidP="007B2486">
      <w:pPr>
        <w:suppressLineNumbers/>
        <w:spacing w:before="120" w:after="120"/>
        <w:rPr>
          <w:rStyle w:val="Siln"/>
          <w:b w:val="0"/>
        </w:rPr>
      </w:pPr>
      <w:r>
        <w:rPr>
          <w:bCs/>
        </w:rPr>
        <w:t>Přestože P</w:t>
      </w:r>
      <w:r w:rsidR="00812EA7">
        <w:rPr>
          <w:bCs/>
        </w:rPr>
        <w:t xml:space="preserve">rogram jednoznačně směřuje ke snižování rizikovosti zapojení do segmentu bezpečnostních technologií, nebude pro účastníky a priori zdrojem zisku nebo </w:t>
      </w:r>
      <w:r>
        <w:rPr>
          <w:bCs/>
        </w:rPr>
        <w:t>uvedení produktu na trh. Návrh P</w:t>
      </w:r>
      <w:r w:rsidR="00812EA7">
        <w:rPr>
          <w:bCs/>
        </w:rPr>
        <w:t>rogramu daleko více akcentuje rozvoj znalostní a technologické základny. Proto podporuje před</w:t>
      </w:r>
      <w:r w:rsidR="00064954">
        <w:rPr>
          <w:bCs/>
        </w:rPr>
        <w:t>evším projekty ověřující nadějné</w:t>
      </w:r>
      <w:r w:rsidR="00812EA7">
        <w:rPr>
          <w:bCs/>
        </w:rPr>
        <w:t xml:space="preserve"> technologické koncepty a jejich následný rozvoj směrem k prototypům. Pilotní nasazování a integrační aktivity jsou potom součástí jiných programových nástrojů. Program by tak měl umožnit zájemcům o bezpečnostní trh především udržet se na technologické špičce, než inkrementální inovace produktů. </w:t>
      </w:r>
    </w:p>
    <w:p w14:paraId="58D9FEBA" w14:textId="208533C4" w:rsidR="00225115" w:rsidRPr="00225115" w:rsidRDefault="00064954" w:rsidP="007B2486">
      <w:pPr>
        <w:suppressLineNumbers/>
        <w:spacing w:before="120" w:after="120"/>
      </w:pPr>
      <w:r>
        <w:t xml:space="preserve">Z hlediska věcného vymezení se Program snaží o maximální otevřenost, ale přesto zachovat moderační vliv. </w:t>
      </w:r>
      <w:r w:rsidR="00225115">
        <w:t>Program</w:t>
      </w:r>
      <w:r w:rsidR="00093D5B">
        <w:t xml:space="preserve"> proto reflektuje</w:t>
      </w:r>
      <w:r w:rsidR="00225115">
        <w:t xml:space="preserve"> </w:t>
      </w:r>
      <w:r w:rsidR="00093D5B">
        <w:t xml:space="preserve">relativně </w:t>
      </w:r>
      <w:r w:rsidR="00225115">
        <w:t xml:space="preserve">široké </w:t>
      </w:r>
      <w:r>
        <w:t>zájmové pole vycházející</w:t>
      </w:r>
      <w:r w:rsidR="00093D5B">
        <w:t xml:space="preserve"> z</w:t>
      </w:r>
      <w:r>
        <w:t> </w:t>
      </w:r>
      <w:r w:rsidR="00225115">
        <w:t>koncepční</w:t>
      </w:r>
      <w:r w:rsidR="00093D5B">
        <w:t>ch</w:t>
      </w:r>
      <w:r>
        <w:t xml:space="preserve"> </w:t>
      </w:r>
      <w:r w:rsidR="00225115">
        <w:t xml:space="preserve">a </w:t>
      </w:r>
      <w:r w:rsidR="00093D5B">
        <w:t xml:space="preserve">strategických dokumentů </w:t>
      </w:r>
      <w:r w:rsidR="00225115">
        <w:t xml:space="preserve">bezpečnostní politiky, tak i </w:t>
      </w:r>
      <w:r>
        <w:t xml:space="preserve">z </w:t>
      </w:r>
      <w:r w:rsidR="00225115">
        <w:t>priorit MKBV2017+. Toto vymezení umožňuje variabilitu zaměření jednotlivých veřejných soutěží, stejně jako operativní reakci v případě identifikace nyní neznámých bezpečnostních hrozeb či dalšího vývoje koncepčních a strategických záměrů v bezpečnostní oblasti.</w:t>
      </w:r>
      <w:r w:rsidR="00225115">
        <w:rPr>
          <w:rStyle w:val="Znakapoznpodarou"/>
        </w:rPr>
        <w:footnoteReference w:id="5"/>
      </w:r>
      <w:r w:rsidR="00225115">
        <w:t xml:space="preserve"> </w:t>
      </w:r>
      <w:r w:rsidR="00426E7A">
        <w:t xml:space="preserve">Program proto akcentuje především inovační potřeby bezpečnostních sborů, které jsou zároveň koncovými uživateli a </w:t>
      </w:r>
      <w:r w:rsidR="002A6D16">
        <w:t>které</w:t>
      </w:r>
      <w:r w:rsidR="00426E7A">
        <w:t xml:space="preserve"> představují klíčový prvek implementace ve všech fázích od specifikace inovačních potřeb (viz zájmové pole z koncepčních a strategických dokumentů bezpečnostní politiky), přes možnost konzultace a testování průběžných řešení až po implementaci v praxi. Tato pevnější vazba je taktéž přínosem </w:t>
      </w:r>
      <w:r w:rsidR="00426E7A" w:rsidRPr="002A6D16">
        <w:rPr>
          <w:i/>
        </w:rPr>
        <w:t>pro excelentní výzkum</w:t>
      </w:r>
      <w:r w:rsidR="00426E7A">
        <w:t>.</w:t>
      </w:r>
    </w:p>
    <w:p w14:paraId="3A934ABD" w14:textId="1C1D272D" w:rsidR="00A74D96" w:rsidRPr="00A837D4" w:rsidRDefault="00883650" w:rsidP="004B6BFD">
      <w:pPr>
        <w:pStyle w:val="Nadpis2"/>
      </w:pPr>
      <w:bookmarkStart w:id="11" w:name="_Toc83296718"/>
      <w:r w:rsidRPr="00A837D4">
        <w:t>Pozice</w:t>
      </w:r>
      <w:r w:rsidR="00A74D96" w:rsidRPr="00A837D4">
        <w:rPr>
          <w:rFonts w:eastAsia="Calibri-OneByteIdentityH"/>
        </w:rPr>
        <w:t xml:space="preserve"> Programu v portfoliu programových nástrojů Ministerstva vnitra</w:t>
      </w:r>
      <w:bookmarkEnd w:id="11"/>
    </w:p>
    <w:p w14:paraId="3FA70C2D" w14:textId="04174C7D" w:rsidR="00D60826" w:rsidRDefault="00200C41" w:rsidP="00D60826">
      <w:pPr>
        <w:suppressLineNumbers/>
        <w:spacing w:before="120" w:after="120"/>
      </w:pPr>
      <w:r>
        <w:t>V souladu s </w:t>
      </w:r>
      <w:r w:rsidR="00E72488">
        <w:t>MKBV2017+</w:t>
      </w:r>
      <w:r w:rsidR="00D60826">
        <w:t xml:space="preserve"> </w:t>
      </w:r>
      <w:r>
        <w:t>tvoří por</w:t>
      </w:r>
      <w:r w:rsidR="00860213">
        <w:t xml:space="preserve">tfolio bezpečnostního výzkumu </w:t>
      </w:r>
      <w:r w:rsidR="00883650">
        <w:t>čtyři</w:t>
      </w:r>
      <w:r w:rsidR="00860213">
        <w:t> </w:t>
      </w:r>
      <w:r>
        <w:t>komplementární programy účelové podpory, zaměřené na odlišné typy aktivit. P</w:t>
      </w:r>
      <w:r w:rsidR="00C46C5E">
        <w:t xml:space="preserve">okrývají celou škálu od vývoje konceptu řešení po testování a evaluaci výsledků za reálných podmínek nasazení. </w:t>
      </w:r>
      <w:r w:rsidR="00535B4E">
        <w:t>Jsou to tyto programy:</w:t>
      </w:r>
    </w:p>
    <w:p w14:paraId="068AFA2F" w14:textId="1F9A57BF" w:rsidR="000017AD" w:rsidRDefault="00535B4E" w:rsidP="007F7A93">
      <w:pPr>
        <w:suppressLineNumbers/>
        <w:spacing w:before="120" w:after="120"/>
        <w:rPr>
          <w:rFonts w:cs="Arial"/>
          <w:shd w:val="clear" w:color="auto" w:fill="FFFFFF"/>
        </w:rPr>
      </w:pPr>
      <w:r w:rsidRPr="000017AD">
        <w:rPr>
          <w:b/>
          <w:bCs/>
        </w:rPr>
        <w:t xml:space="preserve">Program bezpečnostního výzkumu České republiky </w:t>
      </w:r>
      <w:r w:rsidR="00883650">
        <w:rPr>
          <w:b/>
          <w:bCs/>
        </w:rPr>
        <w:t xml:space="preserve">v letech </w:t>
      </w:r>
      <w:r w:rsidRPr="000017AD">
        <w:rPr>
          <w:b/>
          <w:bCs/>
        </w:rPr>
        <w:t xml:space="preserve">2015 </w:t>
      </w:r>
      <w:r w:rsidR="00883650">
        <w:rPr>
          <w:b/>
          <w:bCs/>
        </w:rPr>
        <w:t>až</w:t>
      </w:r>
      <w:r w:rsidR="009F3004">
        <w:rPr>
          <w:b/>
          <w:bCs/>
        </w:rPr>
        <w:t xml:space="preserve"> </w:t>
      </w:r>
      <w:r w:rsidRPr="000017AD">
        <w:rPr>
          <w:b/>
          <w:bCs/>
        </w:rPr>
        <w:t>2022 (VI)</w:t>
      </w:r>
      <w:r w:rsidR="000017AD">
        <w:rPr>
          <w:bCs/>
        </w:rPr>
        <w:t xml:space="preserve">, jehož posláním </w:t>
      </w:r>
      <w:r w:rsidR="007F7A93" w:rsidRPr="000017AD">
        <w:rPr>
          <w:rFonts w:cs="Arial"/>
          <w:shd w:val="clear" w:color="auto" w:fill="FFFFFF"/>
        </w:rPr>
        <w:t xml:space="preserve">je podpořit výzkumné a vývojové aktivity v oblasti bezpečnosti státu a jeho občanů v souladu se strategií prevence, minimalizace a potlačování bezpečnostních hrozeb, stanovenou Bezpečnostní strategií ČR, Národními prioritami orientovaného výzkumu, experimentálního vývoje a inovací </w:t>
      </w:r>
      <w:r w:rsidR="00064954">
        <w:rPr>
          <w:rFonts w:cs="Arial"/>
          <w:shd w:val="clear" w:color="auto" w:fill="FFFFFF"/>
        </w:rPr>
        <w:t xml:space="preserve">a prioritami </w:t>
      </w:r>
      <w:r w:rsidR="007F7A93" w:rsidRPr="000017AD">
        <w:rPr>
          <w:rFonts w:cs="Arial"/>
          <w:shd w:val="clear" w:color="auto" w:fill="FFFFFF"/>
        </w:rPr>
        <w:t>Meziresortní koncepce bezpečnostního výzkumu a vývoje České republiky do roku 2015</w:t>
      </w:r>
      <w:r w:rsidR="009F3004">
        <w:rPr>
          <w:rStyle w:val="Znakapoznpodarou"/>
          <w:rFonts w:cs="Arial"/>
          <w:shd w:val="clear" w:color="auto" w:fill="FFFFFF"/>
        </w:rPr>
        <w:footnoteReference w:id="6"/>
      </w:r>
      <w:r w:rsidR="007F7A93" w:rsidRPr="000017AD">
        <w:rPr>
          <w:rFonts w:cs="Arial"/>
          <w:shd w:val="clear" w:color="auto" w:fill="FFFFFF"/>
        </w:rPr>
        <w:t xml:space="preserve">. </w:t>
      </w:r>
    </w:p>
    <w:p w14:paraId="1CAC9CC4" w14:textId="3F97A05B" w:rsidR="007F7A93" w:rsidRPr="000017AD" w:rsidRDefault="00EE3586" w:rsidP="007F7A93">
      <w:pPr>
        <w:suppressLineNumbers/>
        <w:spacing w:before="120" w:after="120"/>
        <w:rPr>
          <w:b/>
          <w:bCs/>
        </w:rPr>
      </w:pPr>
      <w:r w:rsidRPr="000017AD">
        <w:rPr>
          <w:rFonts w:cs="Arial"/>
          <w:b/>
        </w:rPr>
        <w:lastRenderedPageBreak/>
        <w:t>Program bezpečnostního výzkumu pro potřeby státu v letech 2022-2027</w:t>
      </w:r>
      <w:r w:rsidR="00883650">
        <w:rPr>
          <w:rFonts w:cs="Arial"/>
          <w:b/>
        </w:rPr>
        <w:t xml:space="preserve"> (SecPro)</w:t>
      </w:r>
      <w:r w:rsidR="000017AD" w:rsidRPr="000017AD">
        <w:rPr>
          <w:bCs/>
        </w:rPr>
        <w:t>,</w:t>
      </w:r>
      <w:r w:rsidR="000017AD">
        <w:rPr>
          <w:b/>
          <w:bCs/>
        </w:rPr>
        <w:t xml:space="preserve"> </w:t>
      </w:r>
      <w:r w:rsidR="000017AD" w:rsidRPr="000017AD">
        <w:rPr>
          <w:bCs/>
        </w:rPr>
        <w:t>který</w:t>
      </w:r>
      <w:r w:rsidR="000017AD">
        <w:rPr>
          <w:b/>
          <w:bCs/>
        </w:rPr>
        <w:t xml:space="preserve"> j</w:t>
      </w:r>
      <w:r w:rsidRPr="000017AD">
        <w:rPr>
          <w:rFonts w:cstheme="minorHAnsi"/>
        </w:rPr>
        <w:t xml:space="preserve">e určen </w:t>
      </w:r>
      <w:r w:rsidRPr="007F7A93">
        <w:rPr>
          <w:rFonts w:cstheme="minorHAnsi"/>
        </w:rPr>
        <w:t>k naplňování konkrétních výzkumných potřeb orgánů státní správy podílejících se na plnění úkolů v rámci systému vnitřní bezpečnosti a ochrany obyvat</w:t>
      </w:r>
      <w:r w:rsidR="0075505C">
        <w:rPr>
          <w:rFonts w:cstheme="minorHAnsi"/>
        </w:rPr>
        <w:t>elstva ČR. Uživatelem výsledků p</w:t>
      </w:r>
      <w:r w:rsidR="00064954">
        <w:rPr>
          <w:rFonts w:cstheme="minorHAnsi"/>
        </w:rPr>
        <w:t>rogramu</w:t>
      </w:r>
      <w:r w:rsidRPr="007F7A93">
        <w:rPr>
          <w:rFonts w:cstheme="minorHAnsi"/>
        </w:rPr>
        <w:t xml:space="preserve"> </w:t>
      </w:r>
      <w:r w:rsidR="000017AD">
        <w:rPr>
          <w:rFonts w:cstheme="minorHAnsi"/>
        </w:rPr>
        <w:t>je</w:t>
      </w:r>
      <w:r w:rsidRPr="007F7A93">
        <w:rPr>
          <w:rFonts w:cstheme="minorHAnsi"/>
        </w:rPr>
        <w:t xml:space="preserve"> stát, tj. příslušný orgán státní správy, který své výzkumné potřeby předložil poskytovateli.</w:t>
      </w:r>
    </w:p>
    <w:p w14:paraId="2506CDD1" w14:textId="77777777" w:rsidR="007F7A93" w:rsidRPr="000017AD" w:rsidRDefault="00EE3586" w:rsidP="00D60826">
      <w:pPr>
        <w:suppressLineNumbers/>
        <w:spacing w:before="120" w:after="120"/>
        <w:rPr>
          <w:rFonts w:cs="Arial"/>
          <w:b/>
        </w:rPr>
      </w:pPr>
      <w:r w:rsidRPr="000017AD">
        <w:rPr>
          <w:rFonts w:cs="Arial"/>
          <w:b/>
        </w:rPr>
        <w:t>Strategická podpora rozvoje bezpečnostního</w:t>
      </w:r>
      <w:r w:rsidR="007F7A93" w:rsidRPr="000017AD">
        <w:rPr>
          <w:rFonts w:cs="Arial"/>
          <w:b/>
        </w:rPr>
        <w:t xml:space="preserve"> </w:t>
      </w:r>
      <w:r w:rsidR="000017AD">
        <w:rPr>
          <w:rFonts w:cs="Arial"/>
          <w:b/>
        </w:rPr>
        <w:t>výzkumu ČR 2019-2025 (IMPAKT 1)</w:t>
      </w:r>
      <w:r w:rsidR="000017AD" w:rsidRPr="000017AD">
        <w:rPr>
          <w:rFonts w:cs="Arial"/>
        </w:rPr>
        <w:t>,</w:t>
      </w:r>
      <w:r w:rsidR="000017AD">
        <w:rPr>
          <w:rFonts w:cs="Arial"/>
          <w:b/>
        </w:rPr>
        <w:t xml:space="preserve"> </w:t>
      </w:r>
      <w:r w:rsidR="00860213" w:rsidRPr="00860213">
        <w:rPr>
          <w:rFonts w:cs="Arial"/>
        </w:rPr>
        <w:t>tedy program,</w:t>
      </w:r>
      <w:r w:rsidR="00860213">
        <w:rPr>
          <w:rFonts w:cs="Arial"/>
          <w:b/>
        </w:rPr>
        <w:t xml:space="preserve"> </w:t>
      </w:r>
      <w:r w:rsidR="000017AD">
        <w:rPr>
          <w:rFonts w:cs="Arial"/>
        </w:rPr>
        <w:t xml:space="preserve">který </w:t>
      </w:r>
      <w:r w:rsidRPr="007F7A93">
        <w:rPr>
          <w:rFonts w:cs="Arial"/>
          <w:shd w:val="clear" w:color="auto" w:fill="FFFFFF"/>
        </w:rPr>
        <w:t>vytváří podmínky pro využití a rozvoj potenciálu akademického a veřejného výzkumného sektoru, kter</w:t>
      </w:r>
      <w:r w:rsidR="00C30E9A">
        <w:rPr>
          <w:rFonts w:cs="Arial"/>
          <w:shd w:val="clear" w:color="auto" w:fill="FFFFFF"/>
        </w:rPr>
        <w:t>ý</w:t>
      </w:r>
      <w:r w:rsidRPr="007F7A93">
        <w:rPr>
          <w:rFonts w:cs="Arial"/>
          <w:shd w:val="clear" w:color="auto" w:fill="FFFFFF"/>
        </w:rPr>
        <w:t xml:space="preserve"> zajišťuj</w:t>
      </w:r>
      <w:r w:rsidR="00C30E9A">
        <w:rPr>
          <w:rFonts w:cs="Arial"/>
          <w:shd w:val="clear" w:color="auto" w:fill="FFFFFF"/>
        </w:rPr>
        <w:t>e</w:t>
      </w:r>
      <w:r w:rsidRPr="007F7A93">
        <w:rPr>
          <w:rFonts w:cs="Arial"/>
          <w:shd w:val="clear" w:color="auto" w:fill="FFFFFF"/>
        </w:rPr>
        <w:t xml:space="preserve"> synergickou a dlouhodobou výzkumnou podporu bezpečnostního systému ČR</w:t>
      </w:r>
      <w:r w:rsidR="00C30E9A">
        <w:rPr>
          <w:rFonts w:cs="Arial"/>
          <w:shd w:val="clear" w:color="auto" w:fill="FFFFFF"/>
        </w:rPr>
        <w:t>,</w:t>
      </w:r>
      <w:r w:rsidR="00C30E9A" w:rsidRPr="00C30E9A">
        <w:rPr>
          <w:rFonts w:cs="Arial"/>
          <w:shd w:val="clear" w:color="auto" w:fill="FFFFFF"/>
        </w:rPr>
        <w:t xml:space="preserve"> </w:t>
      </w:r>
      <w:r w:rsidR="00C30E9A">
        <w:rPr>
          <w:rFonts w:cs="Arial"/>
          <w:shd w:val="clear" w:color="auto" w:fill="FFFFFF"/>
        </w:rPr>
        <w:t>včetně podpory mezinárodní spolupráce v bezpečnostním výzkumu</w:t>
      </w:r>
      <w:r w:rsidR="007F7A93" w:rsidRPr="007F7A93">
        <w:rPr>
          <w:rFonts w:cs="Arial"/>
          <w:shd w:val="clear" w:color="auto" w:fill="FFFFFF"/>
        </w:rPr>
        <w:t>.</w:t>
      </w:r>
      <w:r w:rsidR="007F7A93" w:rsidRPr="007F7A93">
        <w:rPr>
          <w:rFonts w:cs="Arial"/>
        </w:rPr>
        <w:t xml:space="preserve"> </w:t>
      </w:r>
    </w:p>
    <w:p w14:paraId="111290C3" w14:textId="4B0ECBA1" w:rsidR="00AA2B91" w:rsidRDefault="007F7A93" w:rsidP="00AA2B91">
      <w:pPr>
        <w:suppressLineNumbers/>
        <w:spacing w:before="120" w:after="120"/>
        <w:rPr>
          <w:b/>
          <w:bCs/>
        </w:rPr>
      </w:pPr>
      <w:r w:rsidRPr="00F14C18">
        <w:rPr>
          <w:rFonts w:cs="Arial"/>
          <w:b/>
        </w:rPr>
        <w:t xml:space="preserve">Program bezpečnostního výzkumu ČR </w:t>
      </w:r>
      <w:r w:rsidR="00883650" w:rsidRPr="00F14C18">
        <w:rPr>
          <w:rFonts w:cs="Arial"/>
          <w:b/>
        </w:rPr>
        <w:t>2021–2026</w:t>
      </w:r>
      <w:r w:rsidRPr="00F14C18">
        <w:rPr>
          <w:rFonts w:cs="Arial"/>
          <w:b/>
        </w:rPr>
        <w:t>: vývoj, testování a evaluace nových bezpečnostních technologií (SECTECH</w:t>
      </w:r>
      <w:r w:rsidRPr="00F14C18">
        <w:rPr>
          <w:rFonts w:cs="Arial"/>
        </w:rPr>
        <w:t>)</w:t>
      </w:r>
      <w:r w:rsidR="00F14C18" w:rsidRPr="00F14C18">
        <w:rPr>
          <w:bCs/>
        </w:rPr>
        <w:t>, jehož h</w:t>
      </w:r>
      <w:r w:rsidR="00EE3586" w:rsidRPr="00F14C18">
        <w:rPr>
          <w:rFonts w:cs="Arial"/>
          <w:shd w:val="clear" w:color="auto" w:fill="FFFFFF"/>
        </w:rPr>
        <w:t>lavním</w:t>
      </w:r>
      <w:r w:rsidR="00EE3586" w:rsidRPr="007F7A93">
        <w:rPr>
          <w:rFonts w:cs="Arial"/>
          <w:shd w:val="clear" w:color="auto" w:fill="FFFFFF"/>
        </w:rPr>
        <w:t xml:space="preserve"> cílem je mobilizace potenciálu podnikového sektoru, zejm. začínajících, malých a středních podniků, k participaci na vývoji a transferu nových bezpečnostních technologií</w:t>
      </w:r>
      <w:r w:rsidR="001472C0">
        <w:rPr>
          <w:rFonts w:cs="Arial"/>
          <w:shd w:val="clear" w:color="auto" w:fill="FFFFFF"/>
        </w:rPr>
        <w:t>.</w:t>
      </w:r>
      <w:r w:rsidR="00CB31F0">
        <w:rPr>
          <w:rFonts w:cs="Arial"/>
          <w:shd w:val="clear" w:color="auto" w:fill="FFFFFF"/>
        </w:rPr>
        <w:t xml:space="preserve"> S</w:t>
      </w:r>
      <w:r w:rsidR="00064954">
        <w:rPr>
          <w:rFonts w:cs="Arial"/>
          <w:shd w:val="clear" w:color="auto" w:fill="FFFFFF"/>
        </w:rPr>
        <w:t>ECTECH</w:t>
      </w:r>
      <w:r w:rsidR="00CB31F0">
        <w:rPr>
          <w:rFonts w:cs="Arial"/>
          <w:shd w:val="clear" w:color="auto" w:fill="FFFFFF"/>
        </w:rPr>
        <w:t xml:space="preserve"> se záměrně soustředí na vysoké stupně technologické vyspělosti. </w:t>
      </w:r>
    </w:p>
    <w:p w14:paraId="10484769" w14:textId="790EC6F5" w:rsidR="00AA2B91" w:rsidRPr="00060FC8" w:rsidRDefault="00AA2B91" w:rsidP="006D7DD8">
      <w:pPr>
        <w:suppressLineNumbers/>
        <w:spacing w:before="120" w:after="120"/>
        <w:rPr>
          <w:b/>
          <w:bCs/>
        </w:rPr>
      </w:pPr>
      <w:r>
        <w:t xml:space="preserve">Programy se soustředí na </w:t>
      </w:r>
      <w:r w:rsidR="00883650">
        <w:t xml:space="preserve">čtyři </w:t>
      </w:r>
      <w:r>
        <w:t xml:space="preserve">druhy výzkumných projektů. V prvé řadě jsou to </w:t>
      </w:r>
      <w:r w:rsidRPr="001627CD">
        <w:rPr>
          <w:b/>
        </w:rPr>
        <w:t>strategick</w:t>
      </w:r>
      <w:r>
        <w:rPr>
          <w:b/>
        </w:rPr>
        <w:t>y</w:t>
      </w:r>
      <w:r w:rsidRPr="001627CD">
        <w:rPr>
          <w:b/>
        </w:rPr>
        <w:t xml:space="preserve"> </w:t>
      </w:r>
      <w:r>
        <w:rPr>
          <w:b/>
        </w:rPr>
        <w:t xml:space="preserve">významné </w:t>
      </w:r>
      <w:r w:rsidRPr="00F1715C">
        <w:t>projekty</w:t>
      </w:r>
      <w:r>
        <w:t xml:space="preserve">, které se zaměřují na rozvoj schopností bezpečnostního systému, které mají dlouhodobě kritický význam z hlediska plnění jeho úkolů v budoucnu, s ohledem na trendy a vývoj bezpečnostního prostředí. Druhou nejvýznamnější skupinou by měly být projekty zaměřené na rozvoj schopností, které mají, vzhledem k vývoji bezpečnostního prostředí, </w:t>
      </w:r>
      <w:r w:rsidRPr="001627CD">
        <w:rPr>
          <w:b/>
        </w:rPr>
        <w:t>vysoký potenciál</w:t>
      </w:r>
      <w:r>
        <w:t xml:space="preserve"> pro </w:t>
      </w:r>
      <w:r w:rsidR="00064954">
        <w:t>budoucí přínos. Třetí skupinou  j</w:t>
      </w:r>
      <w:r>
        <w:t xml:space="preserve">sou projekty zaměřené na </w:t>
      </w:r>
      <w:r w:rsidRPr="001627CD">
        <w:rPr>
          <w:b/>
        </w:rPr>
        <w:t>klíčové operační schopnosti</w:t>
      </w:r>
      <w:r>
        <w:t>, tj. tak</w:t>
      </w:r>
      <w:r w:rsidR="00064954">
        <w:t xml:space="preserve">ové, které jsou v současnosti </w:t>
      </w:r>
      <w:r w:rsidR="00064954">
        <w:br/>
        <w:t xml:space="preserve">i </w:t>
      </w:r>
      <w:r>
        <w:t xml:space="preserve">v budoucnu nutné k plnění poslání bezpečnostního systému. Projekty, které rozvíjí </w:t>
      </w:r>
      <w:r w:rsidRPr="0024063C">
        <w:rPr>
          <w:b/>
        </w:rPr>
        <w:t>p</w:t>
      </w:r>
      <w:r w:rsidR="00064954">
        <w:rPr>
          <w:b/>
        </w:rPr>
        <w:t xml:space="preserve">odpůrné </w:t>
      </w:r>
      <w:r w:rsidRPr="001627CD">
        <w:rPr>
          <w:b/>
        </w:rPr>
        <w:t>schopnosti</w:t>
      </w:r>
      <w:r>
        <w:t xml:space="preserve"> s významnou, nikoli však kritickou hodnotou, jsou</w:t>
      </w:r>
      <w:r w:rsidR="00064954">
        <w:t xml:space="preserve"> v kategorizaci priorit nejméně </w:t>
      </w:r>
      <w:r>
        <w:t xml:space="preserve">významnou skupinou. Následující matice kategorizuje portfolio </w:t>
      </w:r>
      <w:r w:rsidR="00E46B93">
        <w:t xml:space="preserve">projektů </w:t>
      </w:r>
      <w:r>
        <w:t>napříč programy</w:t>
      </w:r>
      <w:r w:rsidR="00CB31F0">
        <w:t>.</w:t>
      </w:r>
    </w:p>
    <w:p w14:paraId="3FE82DF5" w14:textId="429D4423" w:rsidR="001472C0" w:rsidRDefault="00887191" w:rsidP="009B202E">
      <w:pPr>
        <w:suppressLineNumbers/>
        <w:spacing w:before="120" w:after="120"/>
      </w:pPr>
      <w:r>
        <w:rPr>
          <w:noProof/>
          <w:lang w:eastAsia="cs-CZ"/>
        </w:rPr>
        <mc:AlternateContent>
          <mc:Choice Requires="wps">
            <w:drawing>
              <wp:anchor distT="0" distB="0" distL="114300" distR="114300" simplePos="0" relativeHeight="251668480" behindDoc="0" locked="0" layoutInCell="1" allowOverlap="1" wp14:anchorId="28D27D0D" wp14:editId="48D79300">
                <wp:simplePos x="0" y="0"/>
                <wp:positionH relativeFrom="column">
                  <wp:posOffset>3310008</wp:posOffset>
                </wp:positionH>
                <wp:positionV relativeFrom="paragraph">
                  <wp:posOffset>1611416</wp:posOffset>
                </wp:positionV>
                <wp:extent cx="843148" cy="245110"/>
                <wp:effectExtent l="0" t="0" r="14605" b="21590"/>
                <wp:wrapNone/>
                <wp:docPr id="13" name="Textové pole 13"/>
                <wp:cNvGraphicFramePr/>
                <a:graphic xmlns:a="http://schemas.openxmlformats.org/drawingml/2006/main">
                  <a:graphicData uri="http://schemas.microsoft.com/office/word/2010/wordprocessingShape">
                    <wps:wsp>
                      <wps:cNvSpPr txBox="1"/>
                      <wps:spPr>
                        <a:xfrm>
                          <a:off x="0" y="0"/>
                          <a:ext cx="843148" cy="245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4766CF1" w14:textId="198DAD93" w:rsidR="007D3CE5" w:rsidRDefault="007D3CE5" w:rsidP="00A65CD8">
                            <w:pPr>
                              <w:jc w:val="center"/>
                            </w:pPr>
                            <w:r>
                              <w:t>IMPAKT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D27D0D" id="_x0000_t202" coordsize="21600,21600" o:spt="202" path="m,l,21600r21600,l21600,xe">
                <v:stroke joinstyle="miter"/>
                <v:path gradientshapeok="t" o:connecttype="rect"/>
              </v:shapetype>
              <v:shape id="Textové pole 13" o:spid="_x0000_s1026" type="#_x0000_t202" style="position:absolute;left:0;text-align:left;margin-left:260.65pt;margin-top:126.9pt;width:66.4pt;height:1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" fillcolor="white [3201]" strokeweight=".5pt">
                <v:textbox>
                  <w:txbxContent>
                    <w:p w14:paraId="54766CF1" w14:textId="198DAD93" w:rsidR="007D3CE5" w:rsidRDefault="007D3CE5" w:rsidP="00A65CD8">
                      <w:pPr>
                        <w:jc w:val="center"/>
                      </w:pPr>
                      <w:r>
                        <w:t>IMPAKT 1</w:t>
                      </w:r>
                    </w:p>
                  </w:txbxContent>
                </v:textbox>
              </v:shape>
            </w:pict>
          </mc:Fallback>
        </mc:AlternateContent>
      </w:r>
      <w:r w:rsidR="006409A1">
        <w:rPr>
          <w:noProof/>
          <w:lang w:eastAsia="cs-CZ"/>
        </w:rPr>
        <mc:AlternateContent>
          <mc:Choice Requires="wps">
            <w:drawing>
              <wp:anchor distT="0" distB="0" distL="114300" distR="114300" simplePos="0" relativeHeight="251686912" behindDoc="0" locked="0" layoutInCell="1" allowOverlap="1" wp14:anchorId="6C6D42DA" wp14:editId="36AAA925">
                <wp:simplePos x="0" y="0"/>
                <wp:positionH relativeFrom="column">
                  <wp:posOffset>2805572</wp:posOffset>
                </wp:positionH>
                <wp:positionV relativeFrom="paragraph">
                  <wp:posOffset>162494</wp:posOffset>
                </wp:positionV>
                <wp:extent cx="825652" cy="1801495"/>
                <wp:effectExtent l="0" t="0" r="12700" b="27305"/>
                <wp:wrapNone/>
                <wp:docPr id="14" name="Jednoduché závorky 14"/>
                <wp:cNvGraphicFramePr/>
                <a:graphic xmlns:a="http://schemas.openxmlformats.org/drawingml/2006/main">
                  <a:graphicData uri="http://schemas.microsoft.com/office/word/2010/wordprocessingShape">
                    <wps:wsp>
                      <wps:cNvSpPr/>
                      <wps:spPr>
                        <a:xfrm>
                          <a:off x="0" y="0"/>
                          <a:ext cx="825652" cy="180149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196B5F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Jednoduché závorky 14" o:spid="_x0000_s1026" type="#_x0000_t185" style="position:absolute;margin-left:220.9pt;margin-top:12.8pt;width:65pt;height:14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" strokecolor="#1cade4 [3204]" strokeweight=".5pt">
                <v:stroke joinstyle="miter"/>
              </v:shape>
            </w:pict>
          </mc:Fallback>
        </mc:AlternateContent>
      </w:r>
      <w:r w:rsidR="006409A1">
        <w:rPr>
          <w:noProof/>
          <w:lang w:eastAsia="cs-CZ"/>
        </w:rPr>
        <mc:AlternateContent>
          <mc:Choice Requires="wps">
            <w:drawing>
              <wp:anchor distT="0" distB="0" distL="114300" distR="114300" simplePos="0" relativeHeight="251641856" behindDoc="0" locked="0" layoutInCell="1" allowOverlap="1" wp14:anchorId="4C27C556" wp14:editId="2CCA465D">
                <wp:simplePos x="0" y="0"/>
                <wp:positionH relativeFrom="column">
                  <wp:posOffset>1809285</wp:posOffset>
                </wp:positionH>
                <wp:positionV relativeFrom="paragraph">
                  <wp:posOffset>176141</wp:posOffset>
                </wp:positionV>
                <wp:extent cx="858993" cy="1787525"/>
                <wp:effectExtent l="0" t="0" r="17780" b="22225"/>
                <wp:wrapNone/>
                <wp:docPr id="7" name="Jednoduché závorky 7"/>
                <wp:cNvGraphicFramePr/>
                <a:graphic xmlns:a="http://schemas.openxmlformats.org/drawingml/2006/main">
                  <a:graphicData uri="http://schemas.microsoft.com/office/word/2010/wordprocessingShape">
                    <wps:wsp>
                      <wps:cNvSpPr/>
                      <wps:spPr>
                        <a:xfrm>
                          <a:off x="0" y="0"/>
                          <a:ext cx="858993" cy="17875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0E0B2A" id="Jednoduché závorky 7" o:spid="_x0000_s1026" type="#_x0000_t185" style="position:absolute;margin-left:142.45pt;margin-top:13.85pt;width:67.65pt;height:140.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" strokecolor="#1cade4 [3204]" strokeweight=".5pt">
                <v:stroke joinstyle="miter"/>
              </v:shape>
            </w:pict>
          </mc:Fallback>
        </mc:AlternateContent>
      </w:r>
      <w:r w:rsidR="006409A1">
        <w:rPr>
          <w:noProof/>
          <w:lang w:eastAsia="cs-CZ"/>
        </w:rPr>
        <mc:AlternateContent>
          <mc:Choice Requires="wps">
            <w:drawing>
              <wp:anchor distT="0" distB="0" distL="114300" distR="114300" simplePos="0" relativeHeight="251629568" behindDoc="0" locked="0" layoutInCell="1" allowOverlap="1" wp14:anchorId="66FA3A9F" wp14:editId="28A7C1A0">
                <wp:simplePos x="0" y="0"/>
                <wp:positionH relativeFrom="column">
                  <wp:posOffset>635578</wp:posOffset>
                </wp:positionH>
                <wp:positionV relativeFrom="paragraph">
                  <wp:posOffset>162494</wp:posOffset>
                </wp:positionV>
                <wp:extent cx="4230370" cy="702859"/>
                <wp:effectExtent l="0" t="0" r="17780" b="21590"/>
                <wp:wrapNone/>
                <wp:docPr id="6" name="Jednoduché závorky 6"/>
                <wp:cNvGraphicFramePr/>
                <a:graphic xmlns:a="http://schemas.openxmlformats.org/drawingml/2006/main">
                  <a:graphicData uri="http://schemas.microsoft.com/office/word/2010/wordprocessingShape">
                    <wps:wsp>
                      <wps:cNvSpPr/>
                      <wps:spPr>
                        <a:xfrm>
                          <a:off x="0" y="0"/>
                          <a:ext cx="4230370" cy="702859"/>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CF9B3D5" id="Jednoduché závorky 6" o:spid="_x0000_s1026" type="#_x0000_t185" style="position:absolute;margin-left:50.05pt;margin-top:12.8pt;width:333.1pt;height:55.3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" strokecolor="#1cade4 [3204]" strokeweight=".5pt">
                <v:stroke joinstyle="miter"/>
              </v:shape>
            </w:pict>
          </mc:Fallback>
        </mc:AlternateContent>
      </w:r>
      <w:r w:rsidR="006409A1">
        <w:rPr>
          <w:noProof/>
          <w:lang w:eastAsia="cs-CZ"/>
        </w:rPr>
        <mc:AlternateContent>
          <mc:Choice Requires="wps">
            <w:drawing>
              <wp:anchor distT="0" distB="0" distL="114300" distR="114300" simplePos="0" relativeHeight="251699200" behindDoc="0" locked="0" layoutInCell="1" allowOverlap="1" wp14:anchorId="46BBE520" wp14:editId="3151D9D6">
                <wp:simplePos x="0" y="0"/>
                <wp:positionH relativeFrom="column">
                  <wp:posOffset>1085063</wp:posOffset>
                </wp:positionH>
                <wp:positionV relativeFrom="paragraph">
                  <wp:posOffset>874139</wp:posOffset>
                </wp:positionV>
                <wp:extent cx="3364173" cy="7127"/>
                <wp:effectExtent l="0" t="0" r="27305" b="31115"/>
                <wp:wrapNone/>
                <wp:docPr id="16" name="Přímá spojnice 16"/>
                <wp:cNvGraphicFramePr/>
                <a:graphic xmlns:a="http://schemas.openxmlformats.org/drawingml/2006/main">
                  <a:graphicData uri="http://schemas.microsoft.com/office/word/2010/wordprocessingShape">
                    <wps:wsp>
                      <wps:cNvCnPr/>
                      <wps:spPr>
                        <a:xfrm>
                          <a:off x="0" y="0"/>
                          <a:ext cx="3364173" cy="712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C7F7F75" id="Přímá spojnice 1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45pt,68.85pt" to="350.35pt,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" strokecolor="#1cade4 [3204]" strokeweight=".5pt">
                <v:stroke joinstyle="miter"/>
              </v:line>
            </w:pict>
          </mc:Fallback>
        </mc:AlternateContent>
      </w:r>
      <w:r w:rsidR="006409A1">
        <w:rPr>
          <w:noProof/>
          <w:lang w:eastAsia="cs-CZ"/>
        </w:rPr>
        <mc:AlternateContent>
          <mc:Choice Requires="wps">
            <w:drawing>
              <wp:anchor distT="0" distB="0" distL="114300" distR="114300" simplePos="0" relativeHeight="251655168" behindDoc="0" locked="0" layoutInCell="1" allowOverlap="1" wp14:anchorId="2C1EBF16" wp14:editId="0B54B675">
                <wp:simplePos x="0" y="0"/>
                <wp:positionH relativeFrom="column">
                  <wp:posOffset>1474318</wp:posOffset>
                </wp:positionH>
                <wp:positionV relativeFrom="paragraph">
                  <wp:posOffset>1632756</wp:posOffset>
                </wp:positionV>
                <wp:extent cx="675565" cy="238836"/>
                <wp:effectExtent l="0" t="0" r="10795" b="27940"/>
                <wp:wrapNone/>
                <wp:docPr id="12" name="Textové pole 12"/>
                <wp:cNvGraphicFramePr/>
                <a:graphic xmlns:a="http://schemas.openxmlformats.org/drawingml/2006/main">
                  <a:graphicData uri="http://schemas.microsoft.com/office/word/2010/wordprocessingShape">
                    <wps:wsp>
                      <wps:cNvSpPr txBox="1"/>
                      <wps:spPr>
                        <a:xfrm>
                          <a:off x="0" y="0"/>
                          <a:ext cx="675565" cy="23883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769157" w14:textId="25E45F9A" w:rsidR="007D3CE5" w:rsidRDefault="007D3CE5" w:rsidP="00B76CB8">
                            <w:pPr>
                              <w:jc w:val="center"/>
                            </w:pPr>
                            <w:r>
                              <w:t>OPSEC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1EBF16" id="Textové pole 12" o:spid="_x0000_s1027" type="#_x0000_t202" style="position:absolute;left:0;text-align:left;margin-left:116.1pt;margin-top:128.55pt;width:53.2pt;height:18.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" fillcolor="white [3201]" strokeweight=".5pt">
                <v:textbox>
                  <w:txbxContent>
                    <w:p w14:paraId="46769157" w14:textId="25E45F9A" w:rsidR="007D3CE5" w:rsidRDefault="007D3CE5" w:rsidP="00B76CB8">
                      <w:pPr>
                        <w:jc w:val="center"/>
                      </w:pPr>
                      <w:r>
                        <w:t>OPSEC</w:t>
                      </w:r>
                    </w:p>
                  </w:txbxContent>
                </v:textbox>
              </v:shape>
            </w:pict>
          </mc:Fallback>
        </mc:AlternateContent>
      </w:r>
      <w:r w:rsidR="007C5316">
        <w:rPr>
          <w:noProof/>
          <w:lang w:eastAsia="cs-CZ"/>
        </w:rPr>
        <mc:AlternateContent>
          <mc:Choice Requires="wps">
            <w:drawing>
              <wp:anchor distT="0" distB="0" distL="114300" distR="114300" simplePos="0" relativeHeight="251675648" behindDoc="0" locked="0" layoutInCell="1" allowOverlap="1" wp14:anchorId="557AA7F6" wp14:editId="5D8A70D1">
                <wp:simplePos x="0" y="0"/>
                <wp:positionH relativeFrom="column">
                  <wp:posOffset>4047518</wp:posOffset>
                </wp:positionH>
                <wp:positionV relativeFrom="paragraph">
                  <wp:posOffset>372481</wp:posOffset>
                </wp:positionV>
                <wp:extent cx="743803" cy="238286"/>
                <wp:effectExtent l="0" t="0" r="18415" b="28575"/>
                <wp:wrapNone/>
                <wp:docPr id="11" name="Textové pole 11"/>
                <wp:cNvGraphicFramePr/>
                <a:graphic xmlns:a="http://schemas.openxmlformats.org/drawingml/2006/main">
                  <a:graphicData uri="http://schemas.microsoft.com/office/word/2010/wordprocessingShape">
                    <wps:wsp>
                      <wps:cNvSpPr txBox="1"/>
                      <wps:spPr>
                        <a:xfrm>
                          <a:off x="0" y="0"/>
                          <a:ext cx="743803" cy="2382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182B90" w14:textId="77777777" w:rsidR="007D3CE5" w:rsidRDefault="007D3CE5" w:rsidP="00B76CB8">
                            <w:pPr>
                              <w:jc w:val="center"/>
                            </w:pPr>
                            <w:r>
                              <w:t>SECTECH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AA7F6" id="Textové pole 11" o:spid="_x0000_s1028" type="#_x0000_t202" style="position:absolute;left:0;text-align:left;margin-left:318.7pt;margin-top:29.35pt;width:58.5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" fillcolor="white [3201]" strokeweight=".5pt">
                <v:textbox>
                  <w:txbxContent>
                    <w:p w14:paraId="14182B90" w14:textId="77777777" w:rsidR="007D3CE5" w:rsidRDefault="007D3CE5" w:rsidP="00B76CB8">
                      <w:pPr>
                        <w:jc w:val="center"/>
                      </w:pPr>
                      <w:r>
                        <w:t>SECTECH</w:t>
                      </w:r>
                    </w:p>
                  </w:txbxContent>
                </v:textbox>
              </v:shape>
            </w:pict>
          </mc:Fallback>
        </mc:AlternateContent>
      </w:r>
      <w:r w:rsidR="007C5316">
        <w:rPr>
          <w:noProof/>
          <w:lang w:eastAsia="cs-CZ"/>
        </w:rPr>
        <mc:AlternateContent>
          <mc:Choice Requires="wps">
            <w:drawing>
              <wp:anchor distT="0" distB="0" distL="114300" distR="114300" simplePos="0" relativeHeight="251620352" behindDoc="0" locked="0" layoutInCell="1" allowOverlap="1" wp14:anchorId="2316E3B6" wp14:editId="402A722B">
                <wp:simplePos x="0" y="0"/>
                <wp:positionH relativeFrom="column">
                  <wp:posOffset>703817</wp:posOffset>
                </wp:positionH>
                <wp:positionV relativeFrom="paragraph">
                  <wp:posOffset>365656</wp:posOffset>
                </wp:positionV>
                <wp:extent cx="702860" cy="245110"/>
                <wp:effectExtent l="0" t="0" r="21590" b="21590"/>
                <wp:wrapNone/>
                <wp:docPr id="10" name="Textové pole 10"/>
                <wp:cNvGraphicFramePr/>
                <a:graphic xmlns:a="http://schemas.openxmlformats.org/drawingml/2006/main">
                  <a:graphicData uri="http://schemas.microsoft.com/office/word/2010/wordprocessingShape">
                    <wps:wsp>
                      <wps:cNvSpPr txBox="1"/>
                      <wps:spPr>
                        <a:xfrm>
                          <a:off x="0" y="0"/>
                          <a:ext cx="702860" cy="245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B93B5B" w14:textId="77777777" w:rsidR="007D3CE5" w:rsidRDefault="007D3CE5" w:rsidP="00B76CB8">
                            <w:pPr>
                              <w:jc w:val="center"/>
                            </w:pPr>
                            <w:r>
                              <w:t>SECPRO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16E3B6" id="Textové pole 10" o:spid="_x0000_s1029" type="#_x0000_t202" style="position:absolute;left:0;text-align:left;margin-left:55.4pt;margin-top:28.8pt;width:55.35pt;height:19.3pt;z-index:251620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" fillcolor="white [3201]" strokeweight=".5pt">
                <v:textbox>
                  <w:txbxContent>
                    <w:p w14:paraId="41B93B5B" w14:textId="77777777" w:rsidR="007D3CE5" w:rsidRDefault="007D3CE5" w:rsidP="00B76CB8">
                      <w:pPr>
                        <w:jc w:val="center"/>
                      </w:pPr>
                      <w:r>
                        <w:t>SECPRO</w:t>
                      </w:r>
                    </w:p>
                  </w:txbxContent>
                </v:textbox>
              </v:shape>
            </w:pict>
          </mc:Fallback>
        </mc:AlternateContent>
      </w:r>
      <w:r w:rsidR="008F36B1">
        <w:rPr>
          <w:noProof/>
          <w:lang w:eastAsia="cs-CZ"/>
        </w:rPr>
        <mc:AlternateContent>
          <mc:Choice Requires="wps">
            <w:drawing>
              <wp:anchor distT="0" distB="0" distL="114300" distR="114300" simplePos="0" relativeHeight="251689984" behindDoc="0" locked="0" layoutInCell="1" allowOverlap="1" wp14:anchorId="376AA62D" wp14:editId="1175DBED">
                <wp:simplePos x="0" y="0"/>
                <wp:positionH relativeFrom="column">
                  <wp:posOffset>1106425</wp:posOffset>
                </wp:positionH>
                <wp:positionV relativeFrom="paragraph">
                  <wp:posOffset>165688</wp:posOffset>
                </wp:positionV>
                <wp:extent cx="3370997" cy="0"/>
                <wp:effectExtent l="0" t="0" r="20320" b="19050"/>
                <wp:wrapNone/>
                <wp:docPr id="15" name="Přímá spojnice 15"/>
                <wp:cNvGraphicFramePr/>
                <a:graphic xmlns:a="http://schemas.openxmlformats.org/drawingml/2006/main">
                  <a:graphicData uri="http://schemas.microsoft.com/office/word/2010/wordprocessingShape">
                    <wps:wsp>
                      <wps:cNvCnPr/>
                      <wps:spPr>
                        <a:xfrm>
                          <a:off x="0" y="0"/>
                          <a:ext cx="337099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E60728E" id="Přímá spojnice 1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87.1pt,13.05pt" to="352.5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" strokecolor="#1cade4 [3204]" strokeweight=".5pt">
                <v:stroke joinstyle="miter"/>
              </v:line>
            </w:pict>
          </mc:Fallback>
        </mc:AlternateContent>
      </w:r>
      <w:r w:rsidR="001472C0">
        <w:rPr>
          <w:noProof/>
          <w:lang w:eastAsia="cs-CZ"/>
        </w:rPr>
        <w:drawing>
          <wp:inline distT="0" distB="0" distL="0" distR="0" wp14:anchorId="7182C2D3" wp14:editId="54F43729">
            <wp:extent cx="5472430" cy="1746914"/>
            <wp:effectExtent l="0" t="57150" r="0" b="438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4823937" w14:textId="77777777" w:rsidR="0075505C" w:rsidRDefault="0075505C" w:rsidP="0075505C">
      <w:pPr>
        <w:pStyle w:val="Titulek"/>
      </w:pPr>
    </w:p>
    <w:p w14:paraId="4937ED4A" w14:textId="59029E5D" w:rsidR="00AA2B91" w:rsidRDefault="0075505C" w:rsidP="0075505C">
      <w:pPr>
        <w:pStyle w:val="Titulek"/>
        <w:rPr>
          <w:rFonts w:eastAsia="Arial" w:cs="Arial"/>
          <w:b w:val="0"/>
        </w:rPr>
      </w:pPr>
      <w:r>
        <w:t xml:space="preserve">Tabulka </w:t>
      </w:r>
      <w:fldSimple w:instr=" SEQ Tabulka \* ARABIC ">
        <w:r>
          <w:rPr>
            <w:noProof/>
          </w:rPr>
          <w:t>1</w:t>
        </w:r>
      </w:fldSimple>
      <w:r>
        <w:t>: Portfolio programů bezpečnostního výzkumu</w:t>
      </w:r>
    </w:p>
    <w:p w14:paraId="01970F32" w14:textId="5681BB7C" w:rsidR="00996AF6" w:rsidRDefault="00BD688D" w:rsidP="00996AF6">
      <w:pPr>
        <w:suppressLineNumbers/>
        <w:spacing w:before="120" w:after="120"/>
      </w:pPr>
      <w:r>
        <w:t xml:space="preserve">V souladu s výše uvedenými cíli a zaměřením je v jednotlivých programech adekvátně rozpracována řada individuálních charakteristik, od tematického zaměření na </w:t>
      </w:r>
      <w:r w:rsidR="008754E2">
        <w:t>priority a oblasti bezpečnostního výzkumu vymezené v MKBV2017+, přes preferované druhy hlavních</w:t>
      </w:r>
      <w:r w:rsidR="009F3004">
        <w:t xml:space="preserve"> výsledků a jejich vlastnictví a přes zapojení uživatelských organizací do projektů v rolích aplikačních garantů a testovacích autorit </w:t>
      </w:r>
      <w:r w:rsidR="008754E2">
        <w:t>včetně</w:t>
      </w:r>
      <w:r>
        <w:t xml:space="preserve"> </w:t>
      </w:r>
      <w:r w:rsidR="008754E2" w:rsidRPr="00C6428B">
        <w:t xml:space="preserve">adekvátních výběrových, </w:t>
      </w:r>
      <w:r w:rsidR="008754E2">
        <w:t>a hodnotících</w:t>
      </w:r>
      <w:r w:rsidR="00E07BBA">
        <w:t xml:space="preserve"> kritérií</w:t>
      </w:r>
      <w:r w:rsidR="008754E2">
        <w:t xml:space="preserve">, které kladou důraz na odlišné atributy projektů </w:t>
      </w:r>
      <w:r w:rsidR="009F3004">
        <w:br/>
      </w:r>
      <w:r w:rsidR="008754E2">
        <w:t>i charakteristiky řešení.</w:t>
      </w:r>
    </w:p>
    <w:p w14:paraId="669B1842" w14:textId="388A84FF" w:rsidR="009F3004" w:rsidRDefault="00A73C9D" w:rsidP="00996AF6">
      <w:pPr>
        <w:suppressLineNumbers/>
        <w:spacing w:before="120" w:after="120"/>
        <w:rPr>
          <w:rFonts w:cstheme="minorHAnsi"/>
        </w:rPr>
      </w:pPr>
      <w:r>
        <w:rPr>
          <w:rFonts w:eastAsia="Arial" w:cs="Arial"/>
          <w:b/>
        </w:rPr>
        <w:t>Otevřené výzvy v bezpečnostním výzkumu</w:t>
      </w:r>
      <w:r w:rsidR="00683FD6" w:rsidRPr="00683FD6">
        <w:rPr>
          <w:rFonts w:eastAsia="Arial" w:cs="Arial"/>
          <w:b/>
        </w:rPr>
        <w:t xml:space="preserve"> 2023 – 2030 (</w:t>
      </w:r>
      <w:r>
        <w:rPr>
          <w:rFonts w:eastAsia="Arial" w:cs="Arial"/>
          <w:b/>
        </w:rPr>
        <w:t>OpSec</w:t>
      </w:r>
      <w:r w:rsidR="00683FD6" w:rsidRPr="00683FD6">
        <w:rPr>
          <w:rFonts w:eastAsia="Arial" w:cs="Arial"/>
          <w:b/>
        </w:rPr>
        <w:t xml:space="preserve">) </w:t>
      </w:r>
      <w:r w:rsidR="00683FD6" w:rsidRPr="00A74D96">
        <w:rPr>
          <w:bCs/>
        </w:rPr>
        <w:t>je páteřním programem portfolia</w:t>
      </w:r>
      <w:r w:rsidR="00683FD6">
        <w:rPr>
          <w:bCs/>
        </w:rPr>
        <w:t xml:space="preserve"> programových nástrojů účelové podpory bezpečnostního výzkumu. Navazuje na předchozí úspěšný Program bezpečnostního výzkumu České republiky 2010 – 2015 (VG) a probíhající Program bezpečnostního výzkumu České republiky</w:t>
      </w:r>
      <w:r w:rsidR="00BE49C8">
        <w:rPr>
          <w:bCs/>
        </w:rPr>
        <w:t xml:space="preserve"> v letech</w:t>
      </w:r>
      <w:r w:rsidR="00683FD6">
        <w:rPr>
          <w:bCs/>
        </w:rPr>
        <w:t xml:space="preserve"> 2015 </w:t>
      </w:r>
      <w:r w:rsidR="00BE49C8">
        <w:rPr>
          <w:bCs/>
        </w:rPr>
        <w:t>až</w:t>
      </w:r>
      <w:r w:rsidR="00683FD6">
        <w:rPr>
          <w:bCs/>
        </w:rPr>
        <w:t xml:space="preserve"> 2022 (VI). </w:t>
      </w:r>
      <w:r w:rsidR="00683FD6">
        <w:t>Spolu s programem bezpečnostního výzkumu pro potřeby státu (</w:t>
      </w:r>
      <w:r w:rsidR="00CB31F0">
        <w:t>SecPro</w:t>
      </w:r>
      <w:r w:rsidR="00683FD6">
        <w:t xml:space="preserve">) představuje Program základní operační schopnosti systému podpory bezpečnostního výzkumu a hladinu, ke které se systém může vracet v případě, že nebude dostatečně finančně saturován. </w:t>
      </w:r>
      <w:r w:rsidR="00683FD6" w:rsidRPr="003B4314">
        <w:rPr>
          <w:rFonts w:cstheme="minorHAnsi"/>
        </w:rPr>
        <w:t xml:space="preserve">Program navazuje na analýzu minulých zkušeností, </w:t>
      </w:r>
      <w:r w:rsidR="009F3004">
        <w:rPr>
          <w:rFonts w:cstheme="minorHAnsi"/>
        </w:rPr>
        <w:t xml:space="preserve">na potřeby, stav a požadavky kladené na systém bezpečnostního výzkumu, které shrnuje </w:t>
      </w:r>
      <w:r w:rsidR="009F3004">
        <w:rPr>
          <w:rFonts w:cstheme="minorHAnsi"/>
        </w:rPr>
        <w:lastRenderedPageBreak/>
        <w:t>MKBV2017+ a na aktuální potřeby bezpečnostního systému</w:t>
      </w:r>
      <w:r w:rsidR="00CB31F0">
        <w:rPr>
          <w:rFonts w:cstheme="minorHAnsi"/>
        </w:rPr>
        <w:t xml:space="preserve">, vycházející z aktualizace relevantních strategických dokumentů po vstupu MKBV2017+ v platnost. </w:t>
      </w:r>
    </w:p>
    <w:p w14:paraId="67B3F625" w14:textId="4359AE41" w:rsidR="00B16CF8" w:rsidRPr="00996AF6" w:rsidRDefault="008754E2" w:rsidP="00996AF6">
      <w:pPr>
        <w:suppressLineNumbers/>
        <w:spacing w:before="120" w:after="120"/>
      </w:pPr>
      <w:r>
        <w:t xml:space="preserve">Prostřednictvím takto vytvořeného </w:t>
      </w:r>
      <w:r w:rsidRPr="00C6428B">
        <w:t>prostředí komplementárních podpůrných</w:t>
      </w:r>
      <w:r>
        <w:t xml:space="preserve"> </w:t>
      </w:r>
      <w:r w:rsidRPr="00C6428B">
        <w:t>nástrojů</w:t>
      </w:r>
      <w:r w:rsidR="00064954">
        <w:t xml:space="preserve"> účelové </w:t>
      </w:r>
      <w:r>
        <w:t>podpory, doplněné o podporu institucionální, je zajišťována m</w:t>
      </w:r>
      <w:r w:rsidR="006409A1" w:rsidRPr="00C6428B">
        <w:t>aximalizac</w:t>
      </w:r>
      <w:r>
        <w:t>e</w:t>
      </w:r>
      <w:r w:rsidR="00064954">
        <w:t xml:space="preserve"> přínosu podpory </w:t>
      </w:r>
      <w:r w:rsidR="006409A1">
        <w:t>bezpečnostního výzkumu</w:t>
      </w:r>
      <w:r>
        <w:t xml:space="preserve"> </w:t>
      </w:r>
      <w:r w:rsidR="00996AF6">
        <w:t xml:space="preserve">a postupně dosahováno předpokládaného cílového stavu dle MKBV2017+, spočívajícího v tom, </w:t>
      </w:r>
      <w:r w:rsidR="00996AF6" w:rsidRPr="00996AF6">
        <w:t xml:space="preserve">že bezpečnostní výzkum ČR bude k rozvoji klíčových schopností bezpečnostního systému cíleně využívat kreativity a potenciálu výzkumné a inovační sféry, jeho jednotlivých součástí a komunit partnerů. </w:t>
      </w:r>
      <w:r w:rsidR="00045D62">
        <w:t xml:space="preserve">Tento </w:t>
      </w:r>
      <w:r w:rsidR="00996AF6" w:rsidRPr="00996AF6">
        <w:t>flexibilní systém specializovaných nástrojů podpory umož</w:t>
      </w:r>
      <w:r w:rsidR="00045D62">
        <w:t>ňuje</w:t>
      </w:r>
      <w:r w:rsidR="00996AF6" w:rsidRPr="00996AF6">
        <w:t xml:space="preserve"> zaměřit výzkumnou činnost na nejpodstatnější bezpečnostní výzvy a získávat pro ně nová řešení či iniciovat mezinárodní aktivity výzkumných týmů v oblasti bezpečnosti. </w:t>
      </w:r>
    </w:p>
    <w:p w14:paraId="7DF6DE83" w14:textId="351D09DF" w:rsidR="00DF3224" w:rsidRPr="004B6BFD" w:rsidRDefault="00DF3224" w:rsidP="004B6BFD">
      <w:pPr>
        <w:pStyle w:val="Nadpis2"/>
        <w:spacing w:after="0"/>
      </w:pPr>
      <w:bookmarkStart w:id="12" w:name="_Toc83296719"/>
      <w:r w:rsidRPr="004B6BFD">
        <w:t>Vazba na opatření strategických dokumentů politiky výzkumu, vývoje a inovací</w:t>
      </w:r>
      <w:bookmarkEnd w:id="12"/>
    </w:p>
    <w:p w14:paraId="02C353DC" w14:textId="3D0F62BB" w:rsidR="00DF3224" w:rsidRPr="00A837D4" w:rsidRDefault="006A1139" w:rsidP="004B6BFD">
      <w:pPr>
        <w:pStyle w:val="Nadpis3"/>
        <w:rPr>
          <w:u w:val="single"/>
        </w:rPr>
      </w:pPr>
      <w:bookmarkStart w:id="13" w:name="_Toc83296720"/>
      <w:r w:rsidRPr="00A837D4">
        <w:t>Národní politika výzkumu, vývoje a inovací</w:t>
      </w:r>
      <w:bookmarkEnd w:id="13"/>
      <w:r w:rsidR="007C2B4C" w:rsidRPr="00A837D4">
        <w:t xml:space="preserve"> </w:t>
      </w:r>
    </w:p>
    <w:p w14:paraId="1A74D399" w14:textId="4B67B295" w:rsidR="00703A16" w:rsidRDefault="00703A16" w:rsidP="00703A16">
      <w:pPr>
        <w:suppressLineNumbers/>
        <w:spacing w:after="120"/>
      </w:pPr>
      <w:r w:rsidRPr="00703A16">
        <w:rPr>
          <w:rFonts w:cstheme="minorHAnsi"/>
        </w:rPr>
        <w:t>MV při přípravě programových nástrojů bezpečnostního výzkumu vychází z</w:t>
      </w:r>
      <w:r w:rsidR="00583B3B">
        <w:rPr>
          <w:rFonts w:cstheme="minorHAnsi"/>
        </w:rPr>
        <w:t> předpokladu</w:t>
      </w:r>
      <w:r w:rsidRPr="00703A16">
        <w:rPr>
          <w:rFonts w:cstheme="minorHAnsi"/>
        </w:rPr>
        <w:t>, dle kterého jsou koncepce poskytovatelů nástroji plnění Národní politiky výzkumu, vývoje a inovací 2021+ (dále jen „NP</w:t>
      </w:r>
      <w:r w:rsidR="00583B3B">
        <w:rPr>
          <w:rFonts w:cstheme="minorHAnsi"/>
        </w:rPr>
        <w:t xml:space="preserve"> VaVaI</w:t>
      </w:r>
      <w:r w:rsidRPr="00703A16">
        <w:rPr>
          <w:rFonts w:cstheme="minorHAnsi"/>
        </w:rPr>
        <w:t>“). Programy, které koncepce definují, na NP</w:t>
      </w:r>
      <w:r w:rsidR="00583B3B">
        <w:rPr>
          <w:rFonts w:cstheme="minorHAnsi"/>
        </w:rPr>
        <w:t xml:space="preserve"> VaVaI</w:t>
      </w:r>
      <w:r w:rsidRPr="00703A16">
        <w:rPr>
          <w:rFonts w:cstheme="minorHAnsi"/>
        </w:rPr>
        <w:t xml:space="preserve"> implicitně navazují. V případě Programu je to zejména návaznost na opatření NP</w:t>
      </w:r>
      <w:r w:rsidR="00583B3B">
        <w:rPr>
          <w:rFonts w:cstheme="minorHAnsi"/>
        </w:rPr>
        <w:t xml:space="preserve"> VaVaI</w:t>
      </w:r>
      <w:r w:rsidRPr="00703A16">
        <w:rPr>
          <w:rFonts w:cstheme="minorHAnsi"/>
        </w:rPr>
        <w:t xml:space="preserve"> </w:t>
      </w:r>
      <w:r w:rsidRPr="007D3CE5">
        <w:rPr>
          <w:rFonts w:cstheme="minorHAnsi"/>
          <w:i/>
        </w:rPr>
        <w:t>č. 22</w:t>
      </w:r>
      <w:r w:rsidRPr="00703A16">
        <w:rPr>
          <w:rFonts w:cstheme="minorHAnsi"/>
        </w:rPr>
        <w:t xml:space="preserve">: </w:t>
      </w:r>
      <w:r w:rsidRPr="00703A16">
        <w:rPr>
          <w:rFonts w:cstheme="minorHAnsi"/>
          <w:b/>
          <w:bCs/>
        </w:rPr>
        <w:t xml:space="preserve">Rozvoj obranného a bezpečnostního výzkumu </w:t>
      </w:r>
      <w:r w:rsidR="00064954">
        <w:rPr>
          <w:rFonts w:cstheme="minorHAnsi"/>
          <w:b/>
          <w:bCs/>
        </w:rPr>
        <w:br/>
      </w:r>
      <w:r w:rsidRPr="00703A16">
        <w:rPr>
          <w:rFonts w:cstheme="minorHAnsi"/>
          <w:b/>
          <w:bCs/>
        </w:rPr>
        <w:t xml:space="preserve">s možností využití v civilních aplikacích </w:t>
      </w:r>
      <w:r w:rsidRPr="00703A16">
        <w:rPr>
          <w:rFonts w:cstheme="minorHAnsi"/>
          <w:bCs/>
        </w:rPr>
        <w:t>a o</w:t>
      </w:r>
      <w:r w:rsidRPr="00703A16">
        <w:rPr>
          <w:rFonts w:cstheme="minorHAnsi"/>
        </w:rPr>
        <w:t xml:space="preserve">patření </w:t>
      </w:r>
      <w:r w:rsidRPr="007D3CE5">
        <w:rPr>
          <w:rFonts w:cstheme="minorHAnsi"/>
          <w:i/>
        </w:rPr>
        <w:t>č. 27</w:t>
      </w:r>
      <w:r w:rsidRPr="00703A16">
        <w:rPr>
          <w:rFonts w:cstheme="minorHAnsi"/>
        </w:rPr>
        <w:t xml:space="preserve">: </w:t>
      </w:r>
      <w:r w:rsidRPr="00703A16">
        <w:rPr>
          <w:rFonts w:cstheme="minorHAnsi"/>
          <w:b/>
          <w:bCs/>
        </w:rPr>
        <w:t xml:space="preserve">Redefinice Národních priorit orientovaného výzkumu, experimentálního vývoje a inovací s cílem zvýšení odolnosti české </w:t>
      </w:r>
      <w:r w:rsidR="00583B3B" w:rsidRPr="00703A16">
        <w:rPr>
          <w:rFonts w:cstheme="minorHAnsi"/>
          <w:b/>
          <w:bCs/>
        </w:rPr>
        <w:t>společnosti – podpora</w:t>
      </w:r>
      <w:r w:rsidRPr="00703A16">
        <w:rPr>
          <w:rFonts w:cstheme="minorHAnsi"/>
          <w:b/>
          <w:bCs/>
        </w:rPr>
        <w:t xml:space="preserve"> specifických výzkumných programů relevantních pr</w:t>
      </w:r>
      <w:r w:rsidR="00064954">
        <w:rPr>
          <w:rFonts w:cstheme="minorHAnsi"/>
          <w:b/>
          <w:bCs/>
        </w:rPr>
        <w:t xml:space="preserve">o oblasti definovaných hrozeb </w:t>
      </w:r>
      <w:r w:rsidR="00064954">
        <w:rPr>
          <w:rFonts w:cstheme="minorHAnsi"/>
          <w:b/>
          <w:bCs/>
        </w:rPr>
        <w:br/>
        <w:t xml:space="preserve">s </w:t>
      </w:r>
      <w:r w:rsidRPr="00703A16">
        <w:rPr>
          <w:rFonts w:cstheme="minorHAnsi"/>
          <w:b/>
          <w:bCs/>
        </w:rPr>
        <w:t xml:space="preserve">celospolečenským dopadem. </w:t>
      </w:r>
      <w:r w:rsidRPr="00703A16">
        <w:rPr>
          <w:rFonts w:cstheme="minorHAnsi"/>
        </w:rPr>
        <w:t>Zajišťování obrany a bezpečnosti patří mezi hlavní úlohy každého státu, které významně ovlivňuje jak rozvoj aplikovaného výzkumu, tak společenské změny. Podstata branně-bezpečnostní problematiky a značná exkluzivita státu (jako jejího garanta) vyžadují specifický přístup k tvorbě expertních vstupů dotčených politik.</w:t>
      </w:r>
      <w:r w:rsidRPr="00703A16">
        <w:t xml:space="preserve"> </w:t>
      </w:r>
    </w:p>
    <w:p w14:paraId="0EE662AA" w14:textId="52CFC5F7" w:rsidR="00703A16" w:rsidRDefault="00703A16" w:rsidP="00703A16">
      <w:pPr>
        <w:suppressLineNumbers/>
        <w:spacing w:after="120"/>
      </w:pPr>
      <w:r w:rsidRPr="00263A76">
        <w:t>Ze zkušeností předníc</w:t>
      </w:r>
      <w:r w:rsidR="00064954">
        <w:t>h českých výzkumných organizací</w:t>
      </w:r>
      <w:r w:rsidRPr="00263A76">
        <w:t xml:space="preserve"> zaměřených na průmyslovou (smluvní) výzkumnou spolupráci také plyne, že řadu situací usnadňuje podpora právě tohoto typu spolupráce. Program proto podporuje realizaci kolaborativních projektů. Lze jej proto považovat také za nástroj plnění </w:t>
      </w:r>
      <w:r>
        <w:t>opatření NP</w:t>
      </w:r>
      <w:r w:rsidR="00583B3B">
        <w:t xml:space="preserve"> VaVaI</w:t>
      </w:r>
      <w:r>
        <w:t xml:space="preserve"> </w:t>
      </w:r>
      <w:r w:rsidRPr="007D3CE5">
        <w:rPr>
          <w:i/>
        </w:rPr>
        <w:t>č. 20</w:t>
      </w:r>
      <w:r>
        <w:t xml:space="preserve">: </w:t>
      </w:r>
      <w:r>
        <w:rPr>
          <w:b/>
          <w:bCs/>
        </w:rPr>
        <w:t>Podpora dlouhodobé spolupráce ve VaVaI mezi výzkumnými organizacemi a podniky a uplatnění společných výsledků aplikovaného výzkumu v praxi.</w:t>
      </w:r>
    </w:p>
    <w:p w14:paraId="3763C237" w14:textId="014D8A47" w:rsidR="000619B2" w:rsidRDefault="00AA1493" w:rsidP="009B202E">
      <w:pPr>
        <w:suppressLineNumbers/>
        <w:spacing w:after="120"/>
      </w:pPr>
      <w:r w:rsidRPr="00263A76">
        <w:t xml:space="preserve">V rámci portfolia bezpečnostního výzkumu </w:t>
      </w:r>
      <w:r w:rsidR="00604015" w:rsidRPr="00263A76">
        <w:t xml:space="preserve">je Program zaměřen na </w:t>
      </w:r>
      <w:r w:rsidR="00064954">
        <w:t>řadu dalších opatření NP</w:t>
      </w:r>
      <w:r w:rsidR="005279E1">
        <w:t xml:space="preserve"> VaVaI</w:t>
      </w:r>
      <w:r w:rsidR="00064954">
        <w:t xml:space="preserve">. </w:t>
      </w:r>
      <w:r w:rsidRPr="00263A76">
        <w:t>Komplexní programové portfolio bezpečnostního výzkumu totiž zahrn</w:t>
      </w:r>
      <w:r w:rsidR="00604015" w:rsidRPr="00263A76">
        <w:t>uje</w:t>
      </w:r>
      <w:r w:rsidRPr="00263A76">
        <w:t xml:space="preserve"> nástroje pro rozvoj lidských zdrojů, udržování partnerství se zahraničními partnery, ale i úzkou spolupráci s těmi místními (program IMPAKT) a méně i více specializovanou účelovou podporu, podél celé škály technologické vyspělosti</w:t>
      </w:r>
      <w:r w:rsidR="00F8004C" w:rsidRPr="00263A76">
        <w:t xml:space="preserve">, od aplikovaného výzkumu po velmi pokročilý vývoj (programy SOUTĚŽ, </w:t>
      </w:r>
      <w:r w:rsidR="00604015" w:rsidRPr="00263A76">
        <w:t>S</w:t>
      </w:r>
      <w:r w:rsidR="00EE326A">
        <w:t>ecPro</w:t>
      </w:r>
      <w:r w:rsidR="00604015" w:rsidRPr="00263A76">
        <w:t xml:space="preserve"> </w:t>
      </w:r>
      <w:r w:rsidR="00F8004C" w:rsidRPr="00263A76">
        <w:t xml:space="preserve">a </w:t>
      </w:r>
      <w:r w:rsidR="00604015" w:rsidRPr="00263A76">
        <w:t>SECTECH – viz výše</w:t>
      </w:r>
      <w:r w:rsidR="00F8004C" w:rsidRPr="00263A76">
        <w:t xml:space="preserve">). </w:t>
      </w:r>
      <w:r w:rsidRPr="00263A76">
        <w:t xml:space="preserve"> </w:t>
      </w:r>
    </w:p>
    <w:p w14:paraId="091E8323" w14:textId="322792D4" w:rsidR="007361A5" w:rsidRDefault="007361A5" w:rsidP="009B202E">
      <w:pPr>
        <w:suppressLineNumbers/>
        <w:spacing w:after="120"/>
      </w:pPr>
      <w:r>
        <w:t>Program se také podílí na realizaci opatření NP</w:t>
      </w:r>
      <w:r w:rsidR="005279E1">
        <w:t xml:space="preserve"> VaVaI</w:t>
      </w:r>
      <w:r>
        <w:t xml:space="preserve"> </w:t>
      </w:r>
      <w:r w:rsidRPr="007D3CE5">
        <w:rPr>
          <w:i/>
        </w:rPr>
        <w:t>č. 21</w:t>
      </w:r>
      <w:r>
        <w:t xml:space="preserve">: </w:t>
      </w:r>
      <w:r>
        <w:rPr>
          <w:b/>
          <w:bCs/>
        </w:rPr>
        <w:t>Realizace Národní RIS3 strategie</w:t>
      </w:r>
      <w:r w:rsidRPr="007361A5">
        <w:t xml:space="preserve"> </w:t>
      </w:r>
      <w:r>
        <w:t xml:space="preserve">a opatření </w:t>
      </w:r>
      <w:r w:rsidRPr="007D3CE5">
        <w:rPr>
          <w:i/>
        </w:rPr>
        <w:t>č.</w:t>
      </w:r>
      <w:r w:rsidR="008578EB" w:rsidRPr="007D3CE5">
        <w:rPr>
          <w:i/>
        </w:rPr>
        <w:t> </w:t>
      </w:r>
      <w:r w:rsidRPr="007D3CE5">
        <w:rPr>
          <w:i/>
        </w:rPr>
        <w:t>25</w:t>
      </w:r>
      <w:r>
        <w:t xml:space="preserve">: </w:t>
      </w:r>
      <w:r>
        <w:rPr>
          <w:b/>
          <w:bCs/>
        </w:rPr>
        <w:t xml:space="preserve">Komplexní podpora rozvoje a využití umělé inteligence </w:t>
      </w:r>
      <w:r w:rsidRPr="007361A5">
        <w:rPr>
          <w:bCs/>
        </w:rPr>
        <w:t>(viz níže).</w:t>
      </w:r>
    </w:p>
    <w:p w14:paraId="7299904E" w14:textId="423E01C8" w:rsidR="006A1139" w:rsidRPr="003B4314" w:rsidRDefault="006A1139" w:rsidP="004B6BFD">
      <w:pPr>
        <w:pStyle w:val="Nadpis3"/>
      </w:pPr>
      <w:bookmarkStart w:id="14" w:name="_Toc83296721"/>
      <w:r w:rsidRPr="003B4314">
        <w:t>Inovační strategie</w:t>
      </w:r>
      <w:bookmarkEnd w:id="14"/>
    </w:p>
    <w:p w14:paraId="08420231" w14:textId="3E8D4E4A" w:rsidR="00DD1C21" w:rsidRPr="003B4314" w:rsidRDefault="00DD1C21" w:rsidP="009B202E">
      <w:pPr>
        <w:suppressLineNumbers/>
        <w:spacing w:after="120"/>
      </w:pPr>
      <w:r w:rsidRPr="003B4314">
        <w:t>Inovační strategie je svým charakterem i logikou dokumentem výrazně obecnějším a hierarchicky vzato výše postaveným, než aby přímo ovlivňoval charakteristiky konkrétních programů podpory. Pro jeho efektivní fungování je nutné vytvářet průnik s posláním poskytovatelů a účelem jejich jed</w:t>
      </w:r>
      <w:r w:rsidR="00E63A03" w:rsidRPr="003B4314">
        <w:t>notlivých podpor. Přesto lze i P</w:t>
      </w:r>
      <w:r w:rsidRPr="003B4314">
        <w:t xml:space="preserve">rogram vztáhnout ke dvěma cílům tohoto dokumentu, resp. jej vnímat jako součást souboru opatření k plnění této strategie. Jde o: </w:t>
      </w:r>
    </w:p>
    <w:p w14:paraId="675ABD08" w14:textId="75B0052B" w:rsidR="00723683" w:rsidRPr="003B4314" w:rsidRDefault="00DD1C21" w:rsidP="00AE13BC">
      <w:pPr>
        <w:pStyle w:val="Odstavecseseznamem"/>
        <w:numPr>
          <w:ilvl w:val="0"/>
          <w:numId w:val="17"/>
        </w:numPr>
        <w:suppressLineNumbers/>
        <w:spacing w:before="120" w:after="120"/>
        <w:ind w:left="357" w:hanging="357"/>
      </w:pPr>
      <w:r w:rsidRPr="003B4314">
        <w:t>cíl „</w:t>
      </w:r>
      <w:r w:rsidRPr="00AE13BC">
        <w:rPr>
          <w:u w:val="single"/>
        </w:rPr>
        <w:t>posílit účelovou podporu institucí, jejichž výsledky se uplatňují v</w:t>
      </w:r>
      <w:r w:rsidR="005279E1">
        <w:rPr>
          <w:u w:val="single"/>
        </w:rPr>
        <w:t> </w:t>
      </w:r>
      <w:r w:rsidRPr="00AE13BC">
        <w:rPr>
          <w:u w:val="single"/>
        </w:rPr>
        <w:t>praxi</w:t>
      </w:r>
      <w:r w:rsidR="005279E1">
        <w:rPr>
          <w:u w:val="single"/>
        </w:rPr>
        <w:t>“</w:t>
      </w:r>
      <w:r w:rsidRPr="003B4314">
        <w:t xml:space="preserve"> a účelovou podporu aplikovaného společenskovědního výzkumu“ cestou </w:t>
      </w:r>
      <w:r w:rsidR="00723683" w:rsidRPr="003B4314">
        <w:t>„zapojování firem do projektů výzkumu s výzkumnými organizacemi při soukromém kofinancování“ (kap. Financování a hodnocení výzkumu a vývoje)</w:t>
      </w:r>
      <w:r w:rsidR="0075505C">
        <w:t>. Tomu odpovídá zaměření P</w:t>
      </w:r>
      <w:r w:rsidRPr="003B4314">
        <w:t xml:space="preserve">rogramu na </w:t>
      </w:r>
      <w:r w:rsidR="002A5F30">
        <w:t xml:space="preserve">spolupráci </w:t>
      </w:r>
      <w:r w:rsidRPr="003B4314">
        <w:t>akademick</w:t>
      </w:r>
      <w:r w:rsidR="002A5F30">
        <w:t>é a podnikové sféry</w:t>
      </w:r>
      <w:r w:rsidRPr="003B4314">
        <w:t xml:space="preserve"> i důraz na uživatelsky podmíněné vlastnosti výsledků, které jsou v segmentu bezpečnostních </w:t>
      </w:r>
      <w:r w:rsidRPr="003B4314">
        <w:lastRenderedPageBreak/>
        <w:t>technologií pro uplatnění v praxi klíčové. Kofinancování je dáno limity veřejné podpory podle evropské legislativy</w:t>
      </w:r>
      <w:r w:rsidR="005279E1">
        <w:rPr>
          <w:rStyle w:val="Znakapoznpodarou"/>
        </w:rPr>
        <w:footnoteReference w:id="7"/>
      </w:r>
      <w:r w:rsidRPr="003B4314">
        <w:t xml:space="preserve">. </w:t>
      </w:r>
    </w:p>
    <w:p w14:paraId="1F12D4B1" w14:textId="00647812" w:rsidR="00723683" w:rsidRPr="003B4314" w:rsidRDefault="002D32A6" w:rsidP="00AE13BC">
      <w:pPr>
        <w:pStyle w:val="Odstavecseseznamem"/>
        <w:numPr>
          <w:ilvl w:val="0"/>
          <w:numId w:val="17"/>
        </w:numPr>
        <w:suppressLineNumbers/>
        <w:spacing w:before="120" w:after="120"/>
        <w:ind w:left="357" w:hanging="357"/>
      </w:pPr>
      <w:r w:rsidRPr="003B4314">
        <w:t xml:space="preserve">cíl „podporovat zavádění výsledků aplikovaného výzkumu v oblasti transformativních technologií do praxe“ cestou </w:t>
      </w:r>
      <w:r w:rsidR="00723683" w:rsidRPr="003B4314">
        <w:t>„</w:t>
      </w:r>
      <w:r w:rsidR="00723683" w:rsidRPr="00AE13BC">
        <w:rPr>
          <w:u w:val="single"/>
        </w:rPr>
        <w:t>podpor</w:t>
      </w:r>
      <w:r w:rsidRPr="00AE13BC">
        <w:rPr>
          <w:u w:val="single"/>
        </w:rPr>
        <w:t>y</w:t>
      </w:r>
      <w:r w:rsidR="00723683" w:rsidRPr="00AE13BC">
        <w:rPr>
          <w:u w:val="single"/>
        </w:rPr>
        <w:t xml:space="preserve"> ve výzvách národních programů VaVaI </w:t>
      </w:r>
      <w:r w:rsidRPr="00AE13BC">
        <w:rPr>
          <w:u w:val="single"/>
        </w:rPr>
        <w:t xml:space="preserve">pro </w:t>
      </w:r>
      <w:r w:rsidR="00723683" w:rsidRPr="00AE13BC">
        <w:rPr>
          <w:u w:val="single"/>
        </w:rPr>
        <w:t>technologická řešení a inovace v oblasti automatizace, robotizace a umělé inteligence</w:t>
      </w:r>
      <w:r w:rsidR="00723683" w:rsidRPr="003B4314">
        <w:t xml:space="preserve">“ (kap. Digitální stát, výroba </w:t>
      </w:r>
      <w:r w:rsidR="00064954">
        <w:br/>
      </w:r>
      <w:r w:rsidR="00723683" w:rsidRPr="003B4314">
        <w:t>a služby)</w:t>
      </w:r>
      <w:r w:rsidRPr="003B4314">
        <w:t>. Tato témata jsou velmi podstatnou součástí předvídatelných inovací v oblastech vymáhání práva nebo krizového řízení, což jsou primární funkce státu</w:t>
      </w:r>
      <w:r w:rsidR="00926B63">
        <w:rPr>
          <w:rStyle w:val="Znakapoznpodarou"/>
        </w:rPr>
        <w:footnoteReference w:id="8"/>
      </w:r>
      <w:r w:rsidRPr="003B4314">
        <w:t xml:space="preserve">. </w:t>
      </w:r>
    </w:p>
    <w:p w14:paraId="32F26B31" w14:textId="23B55BF8" w:rsidR="00712889" w:rsidRPr="00A837D4" w:rsidRDefault="00712889" w:rsidP="004B6BFD">
      <w:pPr>
        <w:pStyle w:val="Nadpis3"/>
      </w:pPr>
      <w:bookmarkStart w:id="15" w:name="_Toc83296722"/>
      <w:r w:rsidRPr="00A837D4">
        <w:t>Vazba na priority bezpečnostní politiky</w:t>
      </w:r>
      <w:r w:rsidR="00D96687" w:rsidRPr="00A837D4">
        <w:t xml:space="preserve">, RIS3 </w:t>
      </w:r>
      <w:r w:rsidR="00D67FCC" w:rsidRPr="00A837D4">
        <w:t xml:space="preserve">strategie </w:t>
      </w:r>
      <w:r w:rsidR="00D96687" w:rsidRPr="00A837D4">
        <w:t>a Národních priorit orientovaného výzkumu</w:t>
      </w:r>
      <w:bookmarkEnd w:id="15"/>
    </w:p>
    <w:p w14:paraId="1906F7B1" w14:textId="178A5002" w:rsidR="00712889" w:rsidRPr="003B4314" w:rsidRDefault="00712889" w:rsidP="009B202E">
      <w:pPr>
        <w:suppressLineNumbers/>
        <w:spacing w:after="120"/>
      </w:pPr>
      <w:r w:rsidRPr="003B4314">
        <w:t xml:space="preserve">Strategické dokumenty bezpečnostní politiky tvoří složitý relační (nikoliv hierarchický) systém. </w:t>
      </w:r>
      <w:r w:rsidR="00064954">
        <w:t xml:space="preserve"> </w:t>
      </w:r>
      <w:r w:rsidRPr="003B4314">
        <w:t xml:space="preserve">V rámci přípravy MKBV2017+ byla provedena analýza těchto relačních vztahů z </w:t>
      </w:r>
      <w:r w:rsidRPr="003B4314">
        <w:rPr>
          <w:u w:val="single"/>
        </w:rPr>
        <w:t>22 platných a relevantních dokumentů</w:t>
      </w:r>
      <w:r w:rsidRPr="003B4314">
        <w:t>, které vznáší požadavky na bezpečnostní výzkum a/nebo definují inovační směry a priority. Z těchto dokumentů byla vytvořena mapa relačních vztahů 93 bezpečnostních hrozeb, kterým je věnována pozornost, a 94 inovačních potřeb.</w:t>
      </w:r>
      <w:r w:rsidRPr="003B4314">
        <w:rPr>
          <w:rStyle w:val="Znakapoznpodarou"/>
        </w:rPr>
        <w:footnoteReference w:id="9"/>
      </w:r>
      <w:r w:rsidRPr="003B4314">
        <w:t xml:space="preserve"> Nestejná úroveň (míra detailu) nejen mezi dokumenty, ale i uvnitř sledovaných dokumentů, prakticky znesnadňuje rozumný výběr a přímé zahrnutí.</w:t>
      </w:r>
      <w:r w:rsidRPr="003B4314">
        <w:rPr>
          <w:rStyle w:val="Znakapoznpodarou"/>
        </w:rPr>
        <w:footnoteReference w:id="10"/>
      </w:r>
      <w:r w:rsidRPr="003B4314">
        <w:t xml:space="preserve"> </w:t>
      </w:r>
    </w:p>
    <w:p w14:paraId="3B590051" w14:textId="34B44402" w:rsidR="001A1B69" w:rsidRDefault="00712889" w:rsidP="001A1B69">
      <w:pPr>
        <w:suppressLineNumbers/>
        <w:spacing w:after="120"/>
      </w:pPr>
      <w:r w:rsidRPr="003B4314">
        <w:rPr>
          <w:b/>
        </w:rPr>
        <w:t>Výsledkem procesu obsahové analýzy je proto formulace prioritizovaného věcného vymezení bezpečnostního výzkumu, které prezentuje MKBV2017+</w:t>
      </w:r>
      <w:r w:rsidR="000B04EF">
        <w:rPr>
          <w:b/>
        </w:rPr>
        <w:t>,</w:t>
      </w:r>
      <w:r w:rsidRPr="003B4314">
        <w:t xml:space="preserve"> a ve kterém jsou sjednoceny charakteristické požadavky napříč celým spektrem výše studovaných dokumentů</w:t>
      </w:r>
      <w:r w:rsidR="0071798A" w:rsidRPr="003B4314">
        <w:t>.</w:t>
      </w:r>
      <w:r w:rsidRPr="003B4314">
        <w:rPr>
          <w:rStyle w:val="Znakapoznpodarou"/>
        </w:rPr>
        <w:footnoteReference w:id="11"/>
      </w:r>
      <w:r w:rsidRPr="003B4314">
        <w:t xml:space="preserve"> V </w:t>
      </w:r>
      <w:r w:rsidR="004C4052" w:rsidRPr="003B4314">
        <w:t>P</w:t>
      </w:r>
      <w:r w:rsidR="00845806" w:rsidRPr="003B4314">
        <w:t xml:space="preserve">rogramu </w:t>
      </w:r>
      <w:r w:rsidRPr="003B4314">
        <w:t xml:space="preserve">se předpokládá </w:t>
      </w:r>
      <w:r w:rsidR="00845806" w:rsidRPr="003B4314">
        <w:t>financování projektů v plném spektru zájmových oblastí ze</w:t>
      </w:r>
      <w:r w:rsidR="001A1B69">
        <w:t xml:space="preserve"> všech 3</w:t>
      </w:r>
      <w:r w:rsidR="00845806" w:rsidRPr="003B4314">
        <w:t xml:space="preserve"> prioritních cílů podpory bezpečnostního výzkumu</w:t>
      </w:r>
      <w:r w:rsidRPr="003B4314">
        <w:t>:</w:t>
      </w:r>
      <w:r w:rsidR="00842509" w:rsidRPr="003B4314">
        <w:rPr>
          <w:rStyle w:val="Znakapoznpodarou"/>
        </w:rPr>
        <w:footnoteReference w:id="12"/>
      </w:r>
      <w:r w:rsidRPr="003B4314">
        <w:t xml:space="preserve"> </w:t>
      </w:r>
    </w:p>
    <w:p w14:paraId="606DF40C" w14:textId="4493F909" w:rsidR="001A1B69" w:rsidRDefault="001A1B69" w:rsidP="001A1B69">
      <w:pPr>
        <w:suppressLineNumbers/>
        <w:spacing w:after="120"/>
      </w:pPr>
      <w:r w:rsidRPr="001A1B69">
        <w:rPr>
          <w:b/>
        </w:rPr>
        <w:t xml:space="preserve">Efektivní zásah </w:t>
      </w:r>
      <w:r>
        <w:t>(cíl v prioritě řešení bezpečnostních incidentů)</w:t>
      </w:r>
    </w:p>
    <w:p w14:paraId="75385B47" w14:textId="4F680F8E" w:rsidR="001A1B69" w:rsidRDefault="001A1B69" w:rsidP="001A1B69">
      <w:pPr>
        <w:suppressLineNumbers/>
        <w:spacing w:after="120"/>
      </w:pPr>
      <w:r>
        <w:t>Zasahující personál</w:t>
      </w:r>
      <w:r w:rsidRPr="007A5039">
        <w:t xml:space="preserve"> budoucnosti je schopen včas identifikovat hrozící nebezpečí nebo probíhající incident, zorientovat se v situaci a v nejkratším možném čase adekvátně a koordinovaně reagovat v jeho průběhu i po jeho skončení v souladu se svou systémov</w:t>
      </w:r>
      <w:r w:rsidR="00064954">
        <w:t xml:space="preserve">ou funkcí. K tomu je všestranně </w:t>
      </w:r>
      <w:r w:rsidRPr="007A5039">
        <w:t xml:space="preserve">připraven a vybaven vhodnými prostředky, včetně vlastní ochrany, které vždy splňují přísné nároky na funkci v náročných podmínkách a zároveň nesnižují úroveň pozornosti, či jinak nezatěžují fyzické či kognitivní kapacity jedince. </w:t>
      </w:r>
    </w:p>
    <w:p w14:paraId="0E12BAB7" w14:textId="77777777" w:rsidR="001A1B69" w:rsidRDefault="001A1B69" w:rsidP="001A1B69">
      <w:pPr>
        <w:suppressLineNumbers/>
        <w:spacing w:after="120"/>
      </w:pPr>
      <w:r>
        <w:t>V rámci tohoto prioritního cíle jsou rozvíjeny následující zájmové oblasti:</w:t>
      </w:r>
    </w:p>
    <w:p w14:paraId="7F91C522" w14:textId="77777777" w:rsidR="001A1B69" w:rsidRDefault="001A1B69" w:rsidP="00F4225B">
      <w:pPr>
        <w:pStyle w:val="Odstavecseseznamem"/>
        <w:numPr>
          <w:ilvl w:val="0"/>
          <w:numId w:val="10"/>
        </w:numPr>
        <w:suppressLineNumbers/>
        <w:spacing w:after="120"/>
      </w:pPr>
      <w:r>
        <w:t>Včasná výstraha a situační přehled</w:t>
      </w:r>
    </w:p>
    <w:p w14:paraId="1644B492" w14:textId="77777777" w:rsidR="001A1B69" w:rsidRDefault="001A1B69" w:rsidP="00F4225B">
      <w:pPr>
        <w:pStyle w:val="Odstavecseseznamem"/>
        <w:numPr>
          <w:ilvl w:val="0"/>
          <w:numId w:val="10"/>
        </w:numPr>
        <w:suppressLineNumbers/>
        <w:spacing w:after="120"/>
      </w:pPr>
      <w:r>
        <w:t>Efektivní intervence</w:t>
      </w:r>
    </w:p>
    <w:p w14:paraId="64D00B65" w14:textId="77777777" w:rsidR="001A1B69" w:rsidRDefault="001A1B69" w:rsidP="00F4225B">
      <w:pPr>
        <w:pStyle w:val="Odstavecseseznamem"/>
        <w:numPr>
          <w:ilvl w:val="0"/>
          <w:numId w:val="10"/>
        </w:numPr>
        <w:suppressLineNumbers/>
        <w:spacing w:after="120"/>
      </w:pPr>
      <w:r>
        <w:t>Vyšetřování incidentů</w:t>
      </w:r>
    </w:p>
    <w:p w14:paraId="1C52110A" w14:textId="77777777" w:rsidR="001A1B69" w:rsidRDefault="001A1B69" w:rsidP="001A1B69">
      <w:pPr>
        <w:pStyle w:val="Odstavecseseznamem"/>
        <w:suppressLineNumbers/>
        <w:spacing w:after="120"/>
      </w:pPr>
    </w:p>
    <w:p w14:paraId="13645CF7" w14:textId="7BC5B9A3" w:rsidR="00D70658" w:rsidRDefault="001A1B69" w:rsidP="00D70658">
      <w:pPr>
        <w:suppressLineNumbers/>
        <w:spacing w:after="120"/>
      </w:pPr>
      <w:r w:rsidRPr="001A1B69">
        <w:rPr>
          <w:b/>
        </w:rPr>
        <w:t xml:space="preserve">Adaptabilní bezpečnostní systém </w:t>
      </w:r>
      <w:r>
        <w:t>(cíl v prioritě rozvoj bezpečnostního systému)</w:t>
      </w:r>
    </w:p>
    <w:p w14:paraId="0C4F2947" w14:textId="4BD34C4C" w:rsidR="00D70658" w:rsidRDefault="001A1B69" w:rsidP="00D70658">
      <w:pPr>
        <w:suppressLineNumbers/>
        <w:spacing w:after="120"/>
      </w:pPr>
      <w:r w:rsidRPr="007A5039">
        <w:t>Základem uvažování o bezpečnosti jsou prediktivní analýza, soustavná analýza rizik, modelování, simulace a evaluace. Bezpečnostní systém budoucnosti z nich těží a pr</w:t>
      </w:r>
      <w:r w:rsidR="00064954">
        <w:t xml:space="preserve">omítá jejich závěry do regulace </w:t>
      </w:r>
      <w:r w:rsidRPr="007A5039">
        <w:t>i plánování na všech rozhodovacích úrovních. Jednotlivé</w:t>
      </w:r>
      <w:r w:rsidR="00064954">
        <w:t xml:space="preserve"> bezpečnostní složky a součásti </w:t>
      </w:r>
      <w:r w:rsidRPr="007A5039">
        <w:t xml:space="preserve">bezpečnostního systému se vnitřně vyvíjí a optimalizují vlastní plány, postupy, řídící procesy a náklady tak, aby byly vždy schopné plnit své úkoly v požadované kvalitě a rozsahu, a tyto aspekty aktivně maximalizovat učením se ze zkušeností. Jejich směřování probíhá proaktivně, v prostředí, kde kritická </w:t>
      </w:r>
      <w:r w:rsidRPr="007A5039">
        <w:lastRenderedPageBreak/>
        <w:t>rozhodnutí podporují přesné, důvěryhodné a precizně analyticky zpracované informace z maximálního možného spektra relevantních zdrojů.</w:t>
      </w:r>
    </w:p>
    <w:p w14:paraId="53EF4F73" w14:textId="77777777" w:rsidR="00D70658" w:rsidRDefault="001A1B69" w:rsidP="00D70658">
      <w:pPr>
        <w:suppressLineNumbers/>
        <w:spacing w:after="120"/>
      </w:pPr>
      <w:r>
        <w:t>V rámci tohoto prioritního cíle jsou rozvíjeny následující zájmové oblasti:</w:t>
      </w:r>
    </w:p>
    <w:p w14:paraId="1EC7D3A2" w14:textId="77777777" w:rsidR="00D70658" w:rsidRDefault="001A1B69" w:rsidP="00F4225B">
      <w:pPr>
        <w:pStyle w:val="Odstavecseseznamem"/>
        <w:numPr>
          <w:ilvl w:val="0"/>
          <w:numId w:val="11"/>
        </w:numPr>
        <w:suppressLineNumbers/>
        <w:spacing w:after="120"/>
      </w:pPr>
      <w:r>
        <w:t>Bezpečnostní politika a krizové řízení</w:t>
      </w:r>
    </w:p>
    <w:p w14:paraId="730EB40E" w14:textId="77777777" w:rsidR="00D70658" w:rsidRDefault="001A1B69" w:rsidP="00F4225B">
      <w:pPr>
        <w:pStyle w:val="Odstavecseseznamem"/>
        <w:numPr>
          <w:ilvl w:val="0"/>
          <w:numId w:val="11"/>
        </w:numPr>
        <w:suppressLineNumbers/>
        <w:spacing w:after="120"/>
      </w:pPr>
      <w:r>
        <w:t>Vnitřní schopnosti součástí bezpečnostního systému</w:t>
      </w:r>
    </w:p>
    <w:p w14:paraId="161E84DC" w14:textId="77777777" w:rsidR="00D70658" w:rsidRDefault="001A1B69" w:rsidP="00F4225B">
      <w:pPr>
        <w:pStyle w:val="Odstavecseseznamem"/>
        <w:numPr>
          <w:ilvl w:val="0"/>
          <w:numId w:val="11"/>
        </w:numPr>
        <w:suppressLineNumbers/>
        <w:spacing w:after="120"/>
      </w:pPr>
      <w:r>
        <w:t>Management bezpečnostních informací</w:t>
      </w:r>
    </w:p>
    <w:p w14:paraId="2BDBA47F" w14:textId="77777777" w:rsidR="00D70658" w:rsidRDefault="00D70658" w:rsidP="00D70658">
      <w:pPr>
        <w:pStyle w:val="Odstavecseseznamem"/>
        <w:suppressLineNumbers/>
        <w:spacing w:after="120"/>
      </w:pPr>
    </w:p>
    <w:p w14:paraId="244254EF" w14:textId="77777777" w:rsidR="00D70658" w:rsidRDefault="001A1B69" w:rsidP="00D70658">
      <w:pPr>
        <w:suppressLineNumbers/>
        <w:spacing w:after="120"/>
      </w:pPr>
      <w:r w:rsidRPr="00D70658">
        <w:rPr>
          <w:b/>
        </w:rPr>
        <w:t xml:space="preserve">Resilientní komunity </w:t>
      </w:r>
      <w:r>
        <w:t xml:space="preserve">(cíl v prioritě </w:t>
      </w:r>
      <w:r w:rsidRPr="00412509">
        <w:t>snižování rizik a zvyšování odolnosti</w:t>
      </w:r>
      <w:r>
        <w:t>)</w:t>
      </w:r>
    </w:p>
    <w:p w14:paraId="1FC12287" w14:textId="0A62F39A" w:rsidR="00D70658" w:rsidRDefault="001A1B69" w:rsidP="00D70658">
      <w:pPr>
        <w:suppressLineNumbers/>
        <w:spacing w:after="120"/>
      </w:pPr>
      <w:r w:rsidRPr="007A5039">
        <w:t xml:space="preserve">Kultura bezpečnosti proniká i do uvažování o službách, prostředí a společnosti. Prostor, společenství </w:t>
      </w:r>
      <w:r w:rsidR="00064954">
        <w:br/>
      </w:r>
      <w:r w:rsidRPr="007A5039">
        <w:t xml:space="preserve">i jeho klíčové podpůrné systémy se proaktivně zapojují do opatření ke snižování rizik katastrof nebo protispolečenských jevů, přičemž si zachovávají značnou míru tolerance rizika. Rozvíjí se předpoklady pro zachování kontinuity služeb a přístupu k nim a respektu k základním společenským hodnotám </w:t>
      </w:r>
      <w:r w:rsidR="00064954">
        <w:br/>
      </w:r>
      <w:r w:rsidRPr="007A5039">
        <w:t xml:space="preserve">a potřebám zranitelných skupin obyvatelstva v průběhu </w:t>
      </w:r>
      <w:r>
        <w:t>krizové situace</w:t>
      </w:r>
      <w:r w:rsidR="00064954">
        <w:t xml:space="preserve"> nebo pod tlakem </w:t>
      </w:r>
      <w:r w:rsidRPr="007A5039">
        <w:t xml:space="preserve">protispolečenských jevů. Infrastruktury a jejich kritické prvky </w:t>
      </w:r>
      <w:r w:rsidR="00064954">
        <w:t xml:space="preserve">i části veřejného prostoru jsou </w:t>
      </w:r>
      <w:r w:rsidRPr="007A5039">
        <w:t>navrhovány a stavěny tak, aby odolávaly přírodním k</w:t>
      </w:r>
      <w:r w:rsidR="00064954">
        <w:t xml:space="preserve">atastrofám, haváriím i projevům </w:t>
      </w:r>
      <w:r w:rsidRPr="007A5039">
        <w:t xml:space="preserve">protispolečenského chování a umožňovaly flexibilní, kontrolované využití v době </w:t>
      </w:r>
      <w:r>
        <w:t>krizové situace</w:t>
      </w:r>
      <w:r w:rsidRPr="007A5039">
        <w:t xml:space="preserve"> </w:t>
      </w:r>
      <w:r w:rsidR="00064954">
        <w:br/>
      </w:r>
      <w:r w:rsidRPr="007A5039">
        <w:t xml:space="preserve">a rychlou obnovu. Proaktivní bezpečnostní kontrola, jako prvek zvyšování odolnosti, je přizpůsobena dynamice pohybu osob a zboží, i standardům lidských práv a zachování důstojnosti jedince. Komunity zasažené závažným bezpečnostním incidentem jsou schopny se s nimi rychle a úspěšně vypořádat, včetně minimalizace okamžitých i dlouhodobých a chronických následků. </w:t>
      </w:r>
    </w:p>
    <w:p w14:paraId="4F565661" w14:textId="77777777" w:rsidR="00D70658" w:rsidRDefault="001A1B69" w:rsidP="00D70658">
      <w:pPr>
        <w:suppressLineNumbers/>
        <w:spacing w:after="120"/>
      </w:pPr>
      <w:r>
        <w:t>V rámci tohoto prioritního cíle jsou rozvíjeny následující zájmové oblasti:</w:t>
      </w:r>
    </w:p>
    <w:p w14:paraId="3E3CB010" w14:textId="77777777" w:rsidR="00D70658" w:rsidRDefault="001A1B69" w:rsidP="00F4225B">
      <w:pPr>
        <w:pStyle w:val="Odstavecseseznamem"/>
        <w:numPr>
          <w:ilvl w:val="0"/>
          <w:numId w:val="12"/>
        </w:numPr>
        <w:suppressLineNumbers/>
        <w:spacing w:after="120"/>
      </w:pPr>
      <w:r>
        <w:t>Bezpečný veřejný prostor</w:t>
      </w:r>
    </w:p>
    <w:p w14:paraId="393B3413" w14:textId="77777777" w:rsidR="00D70658" w:rsidRDefault="001A1B69" w:rsidP="00F4225B">
      <w:pPr>
        <w:pStyle w:val="Odstavecseseznamem"/>
        <w:numPr>
          <w:ilvl w:val="0"/>
          <w:numId w:val="12"/>
        </w:numPr>
        <w:suppressLineNumbers/>
        <w:spacing w:after="120"/>
      </w:pPr>
      <w:r>
        <w:t>Bezpečnost infrastruktur</w:t>
      </w:r>
    </w:p>
    <w:p w14:paraId="699E7229" w14:textId="3115A81D" w:rsidR="00640B8F" w:rsidRPr="00640B8F" w:rsidRDefault="001A1B69" w:rsidP="00640B8F">
      <w:pPr>
        <w:pStyle w:val="Odstavecseseznamem"/>
        <w:numPr>
          <w:ilvl w:val="0"/>
          <w:numId w:val="12"/>
        </w:numPr>
        <w:suppressLineNumbers/>
        <w:spacing w:after="120"/>
      </w:pPr>
      <w:r>
        <w:t>Environmentální bezpečnost</w:t>
      </w:r>
    </w:p>
    <w:p w14:paraId="7BFA667F" w14:textId="1B9608A5" w:rsidR="00640B8F" w:rsidRPr="00640B8F" w:rsidRDefault="00640B8F" w:rsidP="004C1922">
      <w:pPr>
        <w:suppressLineNumbers/>
        <w:autoSpaceDE w:val="0"/>
        <w:autoSpaceDN w:val="0"/>
        <w:adjustRightInd w:val="0"/>
        <w:spacing w:after="120"/>
        <w:rPr>
          <w:rFonts w:cstheme="minorHAnsi"/>
          <w:iCs/>
        </w:rPr>
      </w:pPr>
      <w:r w:rsidRPr="00640B8F">
        <w:rPr>
          <w:rFonts w:cstheme="minorHAnsi"/>
          <w:lang w:eastAsia="cs-CZ"/>
        </w:rPr>
        <w:t xml:space="preserve">Program svým zacílením plně koresponduje s aktuální Národní RIS3 strategií, ve které je bezpečnostní výzkum jako nadresortní a multioborový nově obsahově akcentován v doménách výzkumné a inovační specializace a zároveň naplňuje také konkrétní společenskou výzvu „Zvýšená bezpečnostní rizika </w:t>
      </w:r>
      <w:r>
        <w:rPr>
          <w:rFonts w:cstheme="minorHAnsi"/>
          <w:lang w:eastAsia="cs-CZ"/>
        </w:rPr>
        <w:br/>
      </w:r>
      <w:r w:rsidRPr="00640B8F">
        <w:rPr>
          <w:rFonts w:cstheme="minorHAnsi"/>
          <w:lang w:eastAsia="cs-CZ"/>
        </w:rPr>
        <w:t xml:space="preserve">a proměnlivost bezpečnostních hrozeb“, </w:t>
      </w:r>
      <w:r w:rsidRPr="00640B8F">
        <w:rPr>
          <w:rFonts w:cstheme="minorHAnsi"/>
          <w:iCs/>
        </w:rPr>
        <w:t>která spadá do gesce Ministerstva vnitra a má též vazbu na resortní programy podpory bezpečnostního výzkumu. Základním principem jednotlivých misí v této výzvě je cestou systematického využívání i budování výzkumných kapacit získávat a efektivně rozvíjet inovativní znalosti, metody a technologie, které umožňují bezpečnostnímu systému ČR a jeho zainteresovaným partnerům čelit současným i budoucím rizikům, která plynou z uvedených měnících se realit bezpečnostního prostředí. Mise v této společenské výzvě primárně cílí na prioritní cíle MKBV2017+, a to na Efektivní zásah a Adaptabilní bezpečnostní systém.</w:t>
      </w:r>
      <w:r>
        <w:rPr>
          <w:rFonts w:cstheme="minorHAnsi"/>
          <w:iCs/>
        </w:rPr>
        <w:t xml:space="preserve"> </w:t>
      </w:r>
    </w:p>
    <w:p w14:paraId="0ECB1DD4" w14:textId="314AFD9B" w:rsidR="00782DF5" w:rsidRDefault="00782DF5" w:rsidP="004C1922">
      <w:pPr>
        <w:suppressLineNumbers/>
        <w:autoSpaceDE w:val="0"/>
        <w:autoSpaceDN w:val="0"/>
        <w:adjustRightInd w:val="0"/>
        <w:spacing w:after="120"/>
        <w:rPr>
          <w:lang w:eastAsia="cs-CZ"/>
        </w:rPr>
      </w:pPr>
      <w:r w:rsidRPr="003B4314">
        <w:rPr>
          <w:lang w:eastAsia="cs-CZ"/>
        </w:rPr>
        <w:t>N</w:t>
      </w:r>
      <w:r w:rsidR="002A79F9">
        <w:rPr>
          <w:lang w:eastAsia="cs-CZ"/>
        </w:rPr>
        <w:t>árodní priority orientovaného výzkumu</w:t>
      </w:r>
      <w:r w:rsidRPr="003B4314">
        <w:rPr>
          <w:lang w:eastAsia="cs-CZ"/>
        </w:rPr>
        <w:t xml:space="preserve"> jsou v tomto směru selektivní podmnožinou o</w:t>
      </w:r>
      <w:r w:rsidR="00064954">
        <w:rPr>
          <w:lang w:eastAsia="cs-CZ"/>
        </w:rPr>
        <w:t xml:space="preserve">bou </w:t>
      </w:r>
      <w:r w:rsidRPr="003B4314">
        <w:rPr>
          <w:lang w:eastAsia="cs-CZ"/>
        </w:rPr>
        <w:t xml:space="preserve">dokumentů, přičemž dominantní překryv lze shledat </w:t>
      </w:r>
      <w:r w:rsidR="004C4052" w:rsidRPr="003B4314">
        <w:rPr>
          <w:lang w:eastAsia="cs-CZ"/>
        </w:rPr>
        <w:t>s</w:t>
      </w:r>
      <w:r w:rsidRPr="003B4314">
        <w:rPr>
          <w:lang w:eastAsia="cs-CZ"/>
        </w:rPr>
        <w:t xml:space="preserve"> MKBV2017+.</w:t>
      </w:r>
    </w:p>
    <w:p w14:paraId="214409D0" w14:textId="77777777" w:rsidR="00D67FCC" w:rsidRPr="003B4314" w:rsidRDefault="00D67FCC" w:rsidP="004C1922">
      <w:pPr>
        <w:suppressLineNumbers/>
        <w:autoSpaceDE w:val="0"/>
        <w:autoSpaceDN w:val="0"/>
        <w:adjustRightInd w:val="0"/>
        <w:spacing w:after="120"/>
        <w:rPr>
          <w:lang w:eastAsia="cs-CZ"/>
        </w:rPr>
      </w:pPr>
      <w:r>
        <w:rPr>
          <w:lang w:eastAsia="cs-CZ"/>
        </w:rPr>
        <w:t>P</w:t>
      </w:r>
      <w:r w:rsidRPr="003B4314">
        <w:rPr>
          <w:lang w:eastAsia="cs-CZ"/>
        </w:rPr>
        <w:t>odporovaná témata</w:t>
      </w:r>
      <w:r>
        <w:rPr>
          <w:lang w:eastAsia="cs-CZ"/>
        </w:rPr>
        <w:t xml:space="preserve"> </w:t>
      </w:r>
      <w:r w:rsidR="002A79F9">
        <w:rPr>
          <w:lang w:eastAsia="cs-CZ"/>
        </w:rPr>
        <w:t>budou</w:t>
      </w:r>
      <w:r>
        <w:rPr>
          <w:lang w:eastAsia="cs-CZ"/>
        </w:rPr>
        <w:t xml:space="preserve"> </w:t>
      </w:r>
      <w:r w:rsidRPr="003B4314">
        <w:rPr>
          <w:lang w:eastAsia="cs-CZ"/>
        </w:rPr>
        <w:t>dále specifikována v</w:t>
      </w:r>
      <w:r w:rsidR="002A79F9">
        <w:rPr>
          <w:lang w:eastAsia="cs-CZ"/>
        </w:rPr>
        <w:t> návazných dokumentech, zejména v zadávacích dokumentacích k jednotlivým veřejným soutěžím.</w:t>
      </w:r>
      <w:r w:rsidRPr="003B4314">
        <w:rPr>
          <w:lang w:eastAsia="cs-CZ"/>
        </w:rPr>
        <w:t xml:space="preserve"> Specifikace umožňuje reagovat na </w:t>
      </w:r>
      <w:r w:rsidR="002A79F9">
        <w:rPr>
          <w:lang w:eastAsia="cs-CZ"/>
        </w:rPr>
        <w:t>silné stránky českého výzkumného</w:t>
      </w:r>
      <w:r w:rsidRPr="003B4314">
        <w:rPr>
          <w:lang w:eastAsia="cs-CZ"/>
        </w:rPr>
        <w:t xml:space="preserve"> prostředí </w:t>
      </w:r>
      <w:r w:rsidR="002A79F9">
        <w:rPr>
          <w:lang w:eastAsia="cs-CZ"/>
        </w:rPr>
        <w:t>a</w:t>
      </w:r>
      <w:r w:rsidRPr="003B4314">
        <w:rPr>
          <w:lang w:eastAsia="cs-CZ"/>
        </w:rPr>
        <w:t xml:space="preserve"> přiblížit program dalším strategickým iniciativám, které bezpečnostní výzkum a priori n</w:t>
      </w:r>
      <w:r w:rsidR="00282496">
        <w:rPr>
          <w:lang w:eastAsia="cs-CZ"/>
        </w:rPr>
        <w:t xml:space="preserve">ezmiňují (např. Strategie AI). </w:t>
      </w:r>
    </w:p>
    <w:p w14:paraId="2596D29B" w14:textId="14F533BE" w:rsidR="000F4605" w:rsidRPr="00A837D4" w:rsidRDefault="00DF3224" w:rsidP="004B6BFD">
      <w:pPr>
        <w:pStyle w:val="Nadpis2"/>
        <w:spacing w:after="0"/>
      </w:pPr>
      <w:bookmarkStart w:id="16" w:name="_Toc83296723"/>
      <w:r w:rsidRPr="00A837D4">
        <w:t xml:space="preserve">Současný stav řešení problematiky bezpečnostního výzkumu v ČR </w:t>
      </w:r>
      <w:r w:rsidR="00163ACD">
        <w:br/>
      </w:r>
      <w:r w:rsidRPr="00A837D4">
        <w:t>a v</w:t>
      </w:r>
      <w:r w:rsidR="00756072" w:rsidRPr="00A837D4">
        <w:t> </w:t>
      </w:r>
      <w:r w:rsidRPr="00A837D4">
        <w:t>zahraničí</w:t>
      </w:r>
      <w:bookmarkEnd w:id="16"/>
    </w:p>
    <w:p w14:paraId="16221AC4" w14:textId="2AB3AC02" w:rsidR="00756072" w:rsidRDefault="00756072" w:rsidP="004B6BFD">
      <w:r w:rsidRPr="004B6BFD">
        <w:t>Bezpečnostní výzkum</w:t>
      </w:r>
      <w:r w:rsidRPr="00E85887">
        <w:t>, resp. snaha veřejných subjektů stimulovat vývoj a implementaci inovací v</w:t>
      </w:r>
      <w:r>
        <w:t> </w:t>
      </w:r>
      <w:r w:rsidRPr="00E85887">
        <w:t xml:space="preserve">bezpečnostním </w:t>
      </w:r>
      <w:r>
        <w:t>sektoru se u nás, v EU i v USA vyvíjí na základě velmi podobných impulzů. Patří mezi ně nutnost reagovat na proměnlivé bezpečnostní hrozby, se zvláštním důrazem na velmi dynamický vývoj v oblasti vymáhání práva</w:t>
      </w:r>
      <w:r w:rsidR="00064954">
        <w:t xml:space="preserve"> </w:t>
      </w:r>
      <w:r>
        <w:t>nebo vysoce specifické charakteristiky trhu bezpečnostních technologií a jeho aktérů.</w:t>
      </w:r>
    </w:p>
    <w:p w14:paraId="42495357" w14:textId="75506EDA" w:rsidR="00756072" w:rsidRDefault="00756072" w:rsidP="004B6BFD">
      <w:r>
        <w:lastRenderedPageBreak/>
        <w:t>O</w:t>
      </w:r>
      <w:r w:rsidR="0062630B">
        <w:t>becně lze viditelnou dynamiku této problematiky sledovat postupně od útoků 11/9/2001, přes rozsáhlé evropské povodně v roce 2003 až po teroristické útoky v Londýně a Madridu v roce 2007. Všechny tyto události postupně přinesly přesvědčení, že veřejný systém zajišťování bezpečnosti potřebuje lépe využívat mod</w:t>
      </w:r>
      <w:r w:rsidR="00B62873">
        <w:t>erních technologických možností a schopností domácího průmyslu.</w:t>
      </w:r>
      <w:r w:rsidR="0062630B">
        <w:t xml:space="preserve"> V tom směru se aktivizovaly zainteresované komunity v EU i v USA a postupně postoupily k organizaci prvních dedikovaných nástrojů podpory tvorby bezpečnostních inovací. </w:t>
      </w:r>
      <w:r>
        <w:t xml:space="preserve"> </w:t>
      </w:r>
      <w:r w:rsidR="0062630B">
        <w:t xml:space="preserve">V ČR se první programy sjednocené v působnosti MV začaly připravovat v návaznosti na tzv. reformu systému poskytovatelů v roce 2008, mj. i ve vazbě na evropské trendy. Od té doby prošly všechny tři systémy poměrně značnou evolucí. </w:t>
      </w:r>
    </w:p>
    <w:p w14:paraId="7D8CB4D2" w14:textId="3F55C08D" w:rsidR="0062630B" w:rsidRDefault="0062630B" w:rsidP="004B6BFD">
      <w:r>
        <w:t xml:space="preserve">V USA se postupně vytvořil systém nástrojů v působnosti </w:t>
      </w:r>
      <w:r w:rsidRPr="004B6BFD">
        <w:rPr>
          <w:i/>
        </w:rPr>
        <w:t>Dept. of Homeland Security</w:t>
      </w:r>
      <w:r>
        <w:t xml:space="preserve"> (DHS), v rámci Ředitelství pro vědu a technologie. Způsob, jakým američtí poskytovatelé definují programové nástroje je od ČR značně odlišný a nelze je tedy vzájemně přímo srovnávat. V americkém systému postupně začal dominovat prvek konečného uživatele, který definuje velmi detailní technologické záměry </w:t>
      </w:r>
      <w:r w:rsidR="00163ACD">
        <w:br/>
      </w:r>
      <w:r>
        <w:t>a požadavky a na jejich základě spolupracuje s dodavatelskou komunitou. Přímo v působnosti DHS jsou programy pro utváření zájmu o relevantní problematiky v univerzitním prostředí, které financují především malé juniorní projekty a studie (</w:t>
      </w:r>
      <w:r w:rsidRPr="004B6BFD">
        <w:rPr>
          <w:i/>
        </w:rPr>
        <w:t>U</w:t>
      </w:r>
      <w:r w:rsidR="00C25554" w:rsidRPr="00E85887">
        <w:rPr>
          <w:i/>
        </w:rPr>
        <w:t>nive</w:t>
      </w:r>
      <w:r w:rsidRPr="004B6BFD">
        <w:rPr>
          <w:i/>
        </w:rPr>
        <w:t>rsity Centers of Excellence</w:t>
      </w:r>
      <w:r>
        <w:t>), dále programy na podporu spolupráce s malými a středními podniky (SBIR a STTR),</w:t>
      </w:r>
      <w:r w:rsidR="00C25554">
        <w:t xml:space="preserve"> a v neposlední řadě skautingové aktivity v Sillicon Valley. Ekvivalent otevřených soutěží reprezentují tzv. </w:t>
      </w:r>
      <w:r w:rsidR="00C25554" w:rsidRPr="004B6BFD">
        <w:rPr>
          <w:i/>
        </w:rPr>
        <w:t>Broad Agency Announcements</w:t>
      </w:r>
      <w:r w:rsidR="00C25554">
        <w:t>, tedy výzvy s relativně obecně vymezeným spektrem témat k podpoře.</w:t>
      </w:r>
      <w:r w:rsidR="00B62873">
        <w:t xml:space="preserve"> Alokace na tento systém je cca 600 mil USD ročně. To ovšem nebere v potaz řadu dalších vývojových aktivit jednotlivých ozbrojených sborů a dalších aktérů. </w:t>
      </w:r>
      <w:r w:rsidR="0015513D">
        <w:t xml:space="preserve">DHS se cíleně snaží o spolupráci s průmyslem, zejm. s tzv. netradičními dodavateli, se kterými úzce spolupracuje na vývoji zcela specifických technologických řešení. </w:t>
      </w:r>
    </w:p>
    <w:p w14:paraId="6F20EC4E" w14:textId="6FAD12A1" w:rsidR="007A27D6" w:rsidRDefault="00C25554" w:rsidP="004B6BFD">
      <w:r>
        <w:t>V EU směřoval vývoj od obecnějších a tematicky orientovaných výzev v prvních pracovních programech Sedmého rámcového programu (tehdy v působnosti DG GROW) směrem k větší specializaci a užší spolupráci s uživatelskou komunitou. Tuto evoluci demonstrovala jak organizační změna – přesun agendy bezpečnostního výzkumu do DG HOME, tak daleko intenzivnější zapojení konečných uživatelů do managementu programu. T</w:t>
      </w:r>
      <w:r w:rsidR="0015513D">
        <w:t>o</w:t>
      </w:r>
      <w:r>
        <w:t xml:space="preserve"> má v současnosti 2 formy. Jednak jde o poradní roli, kterou vůči bezpečnostnímu výzkumu v EU vykonává </w:t>
      </w:r>
      <w:r w:rsidRPr="004B6BFD">
        <w:rPr>
          <w:i/>
        </w:rPr>
        <w:t>Protection and Security Advisory Group</w:t>
      </w:r>
      <w:r>
        <w:t xml:space="preserve"> (PASAG), dále potom o povinné zapojování uživatelů do některých typů podporovaných projektů. Ruku v ruce s touto transformací přichází také jiný přístup k formulaci výzev. Ty jsou v současnosti detailnější a cílově orientované (namísto původního</w:t>
      </w:r>
      <w:r w:rsidR="0015513D">
        <w:t xml:space="preserve"> velmi</w:t>
      </w:r>
      <w:r>
        <w:t xml:space="preserve"> obecného tematického vymezení). </w:t>
      </w:r>
      <w:r w:rsidR="007A27D6">
        <w:t xml:space="preserve">Posledním trendem ve vývoji evropského pohledu na problematiku bezpečnostního výzkumu je zahrnutí vývoje na základě inovační poptávky veřejného sektoru ve snaze o překonání problémů se zaváděním inovativních technologií do praxe. </w:t>
      </w:r>
    </w:p>
    <w:p w14:paraId="754FCE76" w14:textId="2CB209A0" w:rsidR="0062630B" w:rsidRDefault="00C25554" w:rsidP="004B6BFD">
      <w:r>
        <w:t xml:space="preserve">V rámcovém programu </w:t>
      </w:r>
      <w:r w:rsidRPr="004B6BFD">
        <w:rPr>
          <w:i/>
        </w:rPr>
        <w:t>Horizon Europe</w:t>
      </w:r>
      <w:r>
        <w:t xml:space="preserve"> je agenda bezpečnostního výzkumu pevně ukotvena s dotací cca 200 mil EUR ročně</w:t>
      </w:r>
      <w:r w:rsidR="00B62873">
        <w:t xml:space="preserve"> v rámci pilíře 2 – Globální výzvy a konkurenceschopnost evropského průmyslu</w:t>
      </w:r>
      <w:r>
        <w:t xml:space="preserve">. </w:t>
      </w:r>
      <w:r w:rsidR="00B62873">
        <w:t xml:space="preserve">Tyto prostředky jsou předurčeny k podpoře 4 typů projektů, mezi nimi </w:t>
      </w:r>
      <w:r w:rsidR="00B62873" w:rsidRPr="004B6BFD">
        <w:rPr>
          <w:i/>
        </w:rPr>
        <w:t>Research and Innovation Action</w:t>
      </w:r>
      <w:r w:rsidR="00B62873">
        <w:t xml:space="preserve"> a </w:t>
      </w:r>
      <w:r w:rsidR="00B62873" w:rsidRPr="004B6BFD">
        <w:rPr>
          <w:i/>
        </w:rPr>
        <w:t>Innovation Action</w:t>
      </w:r>
      <w:r w:rsidR="00B62873">
        <w:t xml:space="preserve">, které se od sebe liší výslednou technologickou vyspělostí a také intenzitou podpory. </w:t>
      </w:r>
      <w:r w:rsidR="0015513D">
        <w:t xml:space="preserve">I EU explicitně deklaruje vazbu mezi podporou bezpečnostního výzkumu a snahou </w:t>
      </w:r>
      <w:r w:rsidR="00815943">
        <w:br/>
      </w:r>
      <w:r w:rsidR="0015513D">
        <w:t xml:space="preserve">o překonání některých inherentních charakteristik trhu bezpečnostních technologií a, alespoň verbálně, propojuje toto financování s podporou konkurenceschopnosti průmyslu. </w:t>
      </w:r>
    </w:p>
    <w:p w14:paraId="5BBD8C52" w14:textId="01A73D24" w:rsidR="0015513D" w:rsidRDefault="0015513D" w:rsidP="004B6BFD">
      <w:r>
        <w:t xml:space="preserve">Nejpozději od roku 2007 se také rozvíjí národní programy podpory bezpečnostního výzkumu v řadě evropských zemí, obvykle inspirovaných snahou vytvářet domácí zázemí budoucím žadatelům </w:t>
      </w:r>
      <w:r w:rsidR="00163ACD">
        <w:br/>
      </w:r>
      <w:r>
        <w:t xml:space="preserve">o podpory evropské. V současnosti takovými programy disponují FR, DE, AT, NL, FI, SP, PL a nově mimoevropská Velká Británie. Relativně menší a spíše na vnitřní potřeby orientovanou podporou disponuje také Švédsko. Význam problematiky rozvoje bezpečnostních inovací si tak uvědomuje řada evropských zemí a ČR za nimi v tomto smyslu nijak nezaostává. </w:t>
      </w:r>
    </w:p>
    <w:p w14:paraId="1858AFD6" w14:textId="77777777" w:rsidR="006345E5" w:rsidRDefault="007A27D6" w:rsidP="007A1375">
      <w:r>
        <w:t xml:space="preserve">V ČR lze sledovat trendy do jisté míry podobné vývoji v EU. V tuto chvíli je postupně implementována 3. generace programů bezpečnostního výzkumu, která se dvou předchozích výrazně liší. Reprezentuje </w:t>
      </w:r>
      <w:r>
        <w:lastRenderedPageBreak/>
        <w:t xml:space="preserve">ale kvalitativně jiný stav. První a druhou generaci programů bezpečnostního výzkumu charakterizovala snaha o co nejširší pokrytí celého zájmového prostoru formou otevřených výzev, kde jsou projekty zcela formulovány cestou </w:t>
      </w:r>
      <w:r w:rsidRPr="004B6BFD">
        <w:rPr>
          <w:i/>
        </w:rPr>
        <w:t>bottom-up</w:t>
      </w:r>
      <w:r>
        <w:t xml:space="preserve">. Vedle toho v obou generacích existuje prostor pro řešení výzkumných potřeb bezpečnostního systému, cestou veřejných zakázek. </w:t>
      </w:r>
    </w:p>
    <w:p w14:paraId="1C290AB8" w14:textId="364AFEE3" w:rsidR="006345E5" w:rsidRDefault="006345E5" w:rsidP="007A1375">
      <w:r>
        <w:t xml:space="preserve">Za tyto dvě generace se podařilo postupně vytvořit jádro komunity bezpečnostního výzkumu, které reprezentují především velké univerzity. V některých klíčových technologických oblastech, jako AI, se podařilo vytvořit efektivní podpory vedoucí jak k bezpečnostním, tak civilním inovacím. Dlouhodobě je MV také zásadním donorem v kyberbezpečnosti. V první generaci programů dominovalo ČVUT, v současnosti jeho roli postupně přebralo VUT, skrze FIT a FEKT. Na druhou stranu hraje akademický sektor roli efektivního partnera u řady velmi aktuálních témat, jako jsou elektronické důkazy v trestním řízení. Okolo tohoto jádra se vytvořila komunita různě velkých (převážně malých a středních) podniků, které </w:t>
      </w:r>
      <w:r w:rsidR="00E73756">
        <w:t xml:space="preserve">s akademickou sférou aktivně spolupracují. Svou základní roli – motivovat schopné aktéry k práci na bezpečnostních tématech – programy tohoto typu plní. Protože se ale nemění podstata bezpečnostního trhu, trvá potřeba systém podpory bezpečnostního výzkumu rozvíjet. </w:t>
      </w:r>
    </w:p>
    <w:p w14:paraId="0FCCDA94" w14:textId="3E216E5A" w:rsidR="0032725B" w:rsidRDefault="007A27D6" w:rsidP="004B6BFD">
      <w:r>
        <w:t xml:space="preserve">Ve třetí generaci se MV </w:t>
      </w:r>
      <w:r w:rsidR="00887191">
        <w:t>reaguje</w:t>
      </w:r>
      <w:r>
        <w:t xml:space="preserve"> na podobné výzvy, jako jeho zahraniční partneři a do systému přidává cílené programy pro rozvoj schopností akademické sféry</w:t>
      </w:r>
      <w:r w:rsidR="0032725B">
        <w:t xml:space="preserve"> (Impakt)</w:t>
      </w:r>
      <w:r>
        <w:t xml:space="preserve"> a pro přenos výsledků z jiných technologických domén, včetně možnosti dodatečné podpory na dokončení inovativních produktů v rámci testování a vyhodnocování se zapojením uživatele</w:t>
      </w:r>
      <w:r w:rsidR="0032725B">
        <w:t xml:space="preserve"> (</w:t>
      </w:r>
      <w:r w:rsidR="001C72C8">
        <w:t>SECTECH</w:t>
      </w:r>
      <w:r w:rsidR="0032725B">
        <w:t>)</w:t>
      </w:r>
      <w:r>
        <w:t xml:space="preserve">. </w:t>
      </w:r>
      <w:r w:rsidR="0032725B">
        <w:t>Páteřními součástmi systému ale stále zůstávají programy zakázkové (SecPro) a především otevřené výzvy. Ty jsou nadále vzájemně komplementární, protože SecPro umožňuje dotažení a pilotní nasazení technologií podle potřeb konečných uživatelů, zatímco OpSec přináší podporu především nižších a středních stupňů technologické vyspělosti. Znamená to, že jde o program, který investuje především do inovací budoucích</w:t>
      </w:r>
      <w:r w:rsidR="00E73756">
        <w:t xml:space="preserve"> a staví na investicích a schopnostech vybudovaných v rámci např. operačních programů. </w:t>
      </w:r>
      <w:r w:rsidR="0032725B">
        <w:t xml:space="preserve">  </w:t>
      </w:r>
    </w:p>
    <w:p w14:paraId="6FBDBDEA" w14:textId="46B29DB9" w:rsidR="0032725B" w:rsidRPr="004B6BFD" w:rsidRDefault="0032725B" w:rsidP="004B6BFD">
      <w:r>
        <w:t>Poskytovatel zároveň zohledňuje všechny trendy, spojen</w:t>
      </w:r>
      <w:r w:rsidR="00815943">
        <w:t xml:space="preserve">é s managementem bezpečnostního </w:t>
      </w:r>
      <w:r>
        <w:t xml:space="preserve">výzkumu, zejm. ve vztahu s konečnými uživateli a nijak se nezříká snahy o podporu bezpečnostního průmyslu, včetně jeho netradičních aktérů. Trend vyšší specializace výzev potom reprezentuje jednak vymezení podprogramů, které vychází z platných strategických dokumentů bezpečnostní politiky </w:t>
      </w:r>
      <w:r w:rsidR="00815943">
        <w:br/>
      </w:r>
      <w:r>
        <w:t xml:space="preserve">a z mezinárodních trendů, dále potom snaha specializovat jednotlivé programové výzvy. </w:t>
      </w:r>
      <w:r w:rsidR="00DD5EB4">
        <w:t>Program se tak přibližuje mezinárodně uznanému (avšak nikde zcela nerealizovanému) modelu relativně úzce vymezených výzev, které především identifikují problémy a mezery ve schopnostech uživatelské sféry, ale ponechávají zcela otevřený prostor pro návrhy řešení. Z </w:t>
      </w:r>
      <w:r w:rsidR="00163ACD">
        <w:t>praktického</w:t>
      </w:r>
      <w:r w:rsidR="00DD5EB4">
        <w:t xml:space="preserve"> důvodu tento postup v českém prostředí reprezentuje především vymezení podprogramů na základě platných strategických dokumentů a témat v nich akcentovaných. </w:t>
      </w:r>
    </w:p>
    <w:p w14:paraId="37D58435" w14:textId="23594DA9" w:rsidR="009F13AE" w:rsidRPr="00A837D4" w:rsidRDefault="00E614EA" w:rsidP="004B6BFD">
      <w:pPr>
        <w:pStyle w:val="Nadpis1"/>
      </w:pPr>
      <w:bookmarkStart w:id="17" w:name="_Toc83296724"/>
      <w:r w:rsidRPr="00A837D4">
        <w:t>C</w:t>
      </w:r>
      <w:r w:rsidR="00D428AA" w:rsidRPr="00A837D4">
        <w:t xml:space="preserve">íl </w:t>
      </w:r>
      <w:r w:rsidR="00AB61BD" w:rsidRPr="00A837D4">
        <w:t xml:space="preserve">a přínosy </w:t>
      </w:r>
      <w:r w:rsidR="00D428AA" w:rsidRPr="00A837D4">
        <w:t>programu</w:t>
      </w:r>
      <w:bookmarkEnd w:id="17"/>
    </w:p>
    <w:p w14:paraId="153DADB6" w14:textId="42B4EA4E" w:rsidR="003110FC" w:rsidRPr="004B6BFD" w:rsidRDefault="00E614EA" w:rsidP="004B6BFD">
      <w:pPr>
        <w:pStyle w:val="Nadpis2"/>
        <w:ind w:left="578" w:hanging="578"/>
      </w:pPr>
      <w:bookmarkStart w:id="18" w:name="_Toc83296725"/>
      <w:r w:rsidRPr="004B6BFD">
        <w:t>Hlavní cíl</w:t>
      </w:r>
      <w:bookmarkEnd w:id="18"/>
    </w:p>
    <w:p w14:paraId="18DB7008" w14:textId="23E7FF2D" w:rsidR="00F307ED" w:rsidRPr="004B6BFD" w:rsidRDefault="001C72C8" w:rsidP="004B6BFD">
      <w:r>
        <w:t>Hlavním cílem P</w:t>
      </w:r>
      <w:r w:rsidR="008108D3">
        <w:t>rogram</w:t>
      </w:r>
      <w:r w:rsidR="002D6785">
        <w:t>u</w:t>
      </w:r>
      <w:r w:rsidR="008108D3">
        <w:t xml:space="preserve"> je systematicky </w:t>
      </w:r>
      <w:r w:rsidR="00BE1320">
        <w:t xml:space="preserve">podněcovat a </w:t>
      </w:r>
      <w:r w:rsidR="008108D3">
        <w:t xml:space="preserve">rozvíjet zájem výzkumné </w:t>
      </w:r>
      <w:r w:rsidR="008B13A4">
        <w:t xml:space="preserve">a inovační sféry </w:t>
      </w:r>
      <w:r w:rsidR="00163ACD">
        <w:br/>
      </w:r>
      <w:r w:rsidR="008B13A4">
        <w:t>o zapojení do řešení bezpečnostních výzev pro moderní společnost</w:t>
      </w:r>
      <w:r w:rsidR="00215683">
        <w:t xml:space="preserve"> a tvořit tak základnu pro </w:t>
      </w:r>
      <w:r w:rsidR="002B62CF">
        <w:t>rozvoj</w:t>
      </w:r>
      <w:r w:rsidR="00215683">
        <w:t xml:space="preserve"> konkurenceschopných bezpečnostních inovací</w:t>
      </w:r>
      <w:r w:rsidR="005E57A7">
        <w:t xml:space="preserve">. </w:t>
      </w:r>
    </w:p>
    <w:p w14:paraId="347C5816" w14:textId="50A329CF" w:rsidR="008C3EFC" w:rsidRDefault="001C72C8" w:rsidP="004B6BFD">
      <w:pPr>
        <w:pStyle w:val="Nadpis3"/>
      </w:pPr>
      <w:bookmarkStart w:id="19" w:name="_Toc83296726"/>
      <w:r>
        <w:t>Dílčí cíle p</w:t>
      </w:r>
      <w:r w:rsidR="008C3EFC">
        <w:t>rogramu</w:t>
      </w:r>
      <w:bookmarkEnd w:id="19"/>
    </w:p>
    <w:p w14:paraId="40EBDB08" w14:textId="20F22ADD" w:rsidR="007B1337" w:rsidRPr="00463354" w:rsidRDefault="007B1337" w:rsidP="007B1337">
      <w:r>
        <w:t xml:space="preserve">Každý projekt by měl směřovat k výsledkům, jejichž </w:t>
      </w:r>
      <w:r w:rsidR="006512B8">
        <w:t xml:space="preserve">budoucí </w:t>
      </w:r>
      <w:r>
        <w:t xml:space="preserve">nasazení v praxi </w:t>
      </w:r>
      <w:r w:rsidR="004409CC">
        <w:t xml:space="preserve">má </w:t>
      </w:r>
      <w:r w:rsidR="006E285D">
        <w:t xml:space="preserve">ve střednědobém horizontu </w:t>
      </w:r>
      <w:r w:rsidR="004409CC">
        <w:t xml:space="preserve">potenciál </w:t>
      </w:r>
      <w:r>
        <w:t>přispě</w:t>
      </w:r>
      <w:r w:rsidR="004409CC">
        <w:t>t</w:t>
      </w:r>
      <w:r>
        <w:t xml:space="preserve"> k plnění některého z následujících cílů:</w:t>
      </w:r>
    </w:p>
    <w:p w14:paraId="4508D1C4" w14:textId="4F25D1E0" w:rsidR="00506CED" w:rsidRDefault="00506CED" w:rsidP="004B6BFD">
      <w:pPr>
        <w:pStyle w:val="Odstavecseseznamem"/>
        <w:numPr>
          <w:ilvl w:val="0"/>
          <w:numId w:val="18"/>
        </w:numPr>
        <w:suppressLineNumbers/>
        <w:autoSpaceDE w:val="0"/>
        <w:autoSpaceDN w:val="0"/>
        <w:adjustRightInd w:val="0"/>
        <w:spacing w:before="120" w:after="0"/>
      </w:pPr>
      <w:r>
        <w:t>zefektivnění plánování, koordinace a regulace (tj. zefektivnění</w:t>
      </w:r>
      <w:r w:rsidR="00815943">
        <w:t xml:space="preserve"> přípravy na krizové </w:t>
      </w:r>
      <w:r>
        <w:t>situace/incidenty</w:t>
      </w:r>
      <w:r w:rsidR="00364B4F">
        <w:t>/společenské jevy</w:t>
      </w:r>
      <w:r>
        <w:t>);</w:t>
      </w:r>
    </w:p>
    <w:p w14:paraId="7E64169A" w14:textId="7FE88D46" w:rsidR="00506CED" w:rsidRDefault="00506CED" w:rsidP="004B6BFD">
      <w:pPr>
        <w:pStyle w:val="Odstavecseseznamem"/>
        <w:numPr>
          <w:ilvl w:val="0"/>
          <w:numId w:val="18"/>
        </w:numPr>
        <w:suppressLineNumbers/>
        <w:autoSpaceDE w:val="0"/>
        <w:autoSpaceDN w:val="0"/>
        <w:adjustRightInd w:val="0"/>
        <w:spacing w:before="120" w:after="0"/>
      </w:pPr>
      <w:r>
        <w:t>zvýšení dostupnosti služeb bezpečnostního systému (tj. rozsahu nebo kvality</w:t>
      </w:r>
      <w:r w:rsidR="00254F01">
        <w:t xml:space="preserve"> či rychlosti reakce</w:t>
      </w:r>
      <w:r>
        <w:t>);</w:t>
      </w:r>
    </w:p>
    <w:p w14:paraId="60C4204F" w14:textId="3BDA2D78" w:rsidR="00506CED" w:rsidRDefault="00506CED" w:rsidP="004B6BFD">
      <w:pPr>
        <w:pStyle w:val="Odstavecseseznamem"/>
        <w:numPr>
          <w:ilvl w:val="0"/>
          <w:numId w:val="18"/>
        </w:numPr>
        <w:suppressLineNumbers/>
        <w:autoSpaceDE w:val="0"/>
        <w:autoSpaceDN w:val="0"/>
        <w:adjustRightInd w:val="0"/>
        <w:spacing w:before="120" w:after="0"/>
      </w:pPr>
      <w:r>
        <w:lastRenderedPageBreak/>
        <w:t>snížení ohrožení (tj. omezení pravděpodobnosti vzniku negativních dopadů krizové situace/incidentu</w:t>
      </w:r>
      <w:r w:rsidR="00364B4F">
        <w:t>/jevu</w:t>
      </w:r>
      <w:r>
        <w:t>);</w:t>
      </w:r>
    </w:p>
    <w:p w14:paraId="5F185508" w14:textId="77777777" w:rsidR="00506CED" w:rsidRDefault="00506CED" w:rsidP="004B6BFD">
      <w:pPr>
        <w:pStyle w:val="Odstavecseseznamem"/>
        <w:numPr>
          <w:ilvl w:val="0"/>
          <w:numId w:val="18"/>
        </w:numPr>
        <w:suppressLineNumbers/>
        <w:autoSpaceDE w:val="0"/>
        <w:autoSpaceDN w:val="0"/>
        <w:adjustRightInd w:val="0"/>
        <w:spacing w:before="120" w:after="0"/>
      </w:pPr>
      <w:r>
        <w:t>zefektivnění včasného varování (zejména prodloužení doby na reakci, zvýšení spolehlivosti varování);</w:t>
      </w:r>
    </w:p>
    <w:p w14:paraId="4383080C" w14:textId="422AA718" w:rsidR="00506CED" w:rsidRDefault="00506CED" w:rsidP="004B6BFD">
      <w:pPr>
        <w:pStyle w:val="Odstavecseseznamem"/>
        <w:numPr>
          <w:ilvl w:val="0"/>
          <w:numId w:val="18"/>
        </w:numPr>
        <w:suppressLineNumbers/>
        <w:autoSpaceDE w:val="0"/>
        <w:autoSpaceDN w:val="0"/>
        <w:adjustRightInd w:val="0"/>
        <w:spacing w:before="120" w:after="0"/>
      </w:pPr>
      <w:r>
        <w:t>zvýšení bezpečnosti zasahujících, včetně vyšetřování a expertizní činnosti;</w:t>
      </w:r>
    </w:p>
    <w:p w14:paraId="14D87CAB" w14:textId="09DC960D" w:rsidR="00506CED" w:rsidRDefault="00506CED" w:rsidP="004B6BFD">
      <w:pPr>
        <w:pStyle w:val="Odstavecseseznamem"/>
        <w:numPr>
          <w:ilvl w:val="0"/>
          <w:numId w:val="18"/>
        </w:numPr>
        <w:suppressLineNumbers/>
        <w:autoSpaceDE w:val="0"/>
        <w:autoSpaceDN w:val="0"/>
        <w:adjustRightInd w:val="0"/>
        <w:spacing w:before="120" w:after="0"/>
      </w:pPr>
      <w:r>
        <w:t>zvýšení efektivity činnosti zasahujících, včetně vyšetřování a expertizní činnosti;</w:t>
      </w:r>
    </w:p>
    <w:p w14:paraId="50336A76" w14:textId="77777777" w:rsidR="00506CED" w:rsidRPr="004B6BFD" w:rsidRDefault="00506CED" w:rsidP="004B6BFD">
      <w:pPr>
        <w:pStyle w:val="Odstavecseseznamem"/>
        <w:numPr>
          <w:ilvl w:val="0"/>
          <w:numId w:val="18"/>
        </w:numPr>
        <w:suppressLineNumbers/>
        <w:autoSpaceDE w:val="0"/>
        <w:autoSpaceDN w:val="0"/>
        <w:adjustRightInd w:val="0"/>
        <w:spacing w:before="120" w:after="0"/>
        <w:rPr>
          <w:rFonts w:eastAsia="Arial"/>
        </w:rPr>
      </w:pPr>
      <w:r w:rsidRPr="009C28E0">
        <w:t>zmírnění následků (tj. omezení intenzity a rozsahu dopadů krizové situace/incidentu/jevu).</w:t>
      </w:r>
    </w:p>
    <w:p w14:paraId="06250209" w14:textId="77777777" w:rsidR="0046692E" w:rsidRPr="0046692E" w:rsidRDefault="0046692E" w:rsidP="0046692E">
      <w:pPr>
        <w:pStyle w:val="Odstavecseseznamem"/>
        <w:suppressLineNumbers/>
        <w:autoSpaceDE w:val="0"/>
        <w:autoSpaceDN w:val="0"/>
        <w:adjustRightInd w:val="0"/>
        <w:spacing w:after="120"/>
        <w:ind w:left="284"/>
        <w:rPr>
          <w:rFonts w:cs="Arial"/>
          <w:lang w:eastAsia="cs-CZ"/>
        </w:rPr>
      </w:pPr>
    </w:p>
    <w:p w14:paraId="27696C83" w14:textId="7F4C49AE" w:rsidR="008E12D8" w:rsidRPr="004B6BFD" w:rsidRDefault="00E614EA" w:rsidP="004B6BFD">
      <w:pPr>
        <w:pStyle w:val="Nadpis2"/>
        <w:ind w:left="578"/>
        <w:rPr>
          <w:rFonts w:eastAsia="Arial"/>
          <w:b w:val="0"/>
        </w:rPr>
      </w:pPr>
      <w:bookmarkStart w:id="20" w:name="_Toc83296727"/>
      <w:r w:rsidRPr="00A837D4">
        <w:rPr>
          <w:rFonts w:eastAsia="Arial"/>
          <w:b w:val="0"/>
          <w:bCs w:val="0"/>
        </w:rPr>
        <w:t>Očekávané přínosy programu</w:t>
      </w:r>
      <w:bookmarkEnd w:id="20"/>
    </w:p>
    <w:p w14:paraId="350DC0F6" w14:textId="37D9CBD0" w:rsidR="00F057D3" w:rsidRDefault="0046692E" w:rsidP="00F057D3">
      <w:pPr>
        <w:pStyle w:val="Odstavecseseznamem"/>
        <w:suppressLineNumbers/>
        <w:autoSpaceDE w:val="0"/>
        <w:autoSpaceDN w:val="0"/>
        <w:adjustRightInd w:val="0"/>
        <w:spacing w:after="120"/>
        <w:ind w:left="0"/>
      </w:pPr>
      <w:r w:rsidRPr="00F057D3">
        <w:t xml:space="preserve">Program </w:t>
      </w:r>
      <w:r w:rsidR="000B5248">
        <w:t>se stane jedním ze stimulů</w:t>
      </w:r>
      <w:r w:rsidR="000B5248" w:rsidRPr="00F057D3">
        <w:t xml:space="preserve"> </w:t>
      </w:r>
      <w:r w:rsidRPr="00F057D3">
        <w:t xml:space="preserve">k využívání potenciálu výzkumné kapacity ČR </w:t>
      </w:r>
      <w:r w:rsidR="00364B4F">
        <w:t xml:space="preserve">napříč oborovými skupinami </w:t>
      </w:r>
      <w:r w:rsidRPr="00F057D3">
        <w:t>pro řešení projektů bezpečnostního výzkumu a vývoje.</w:t>
      </w:r>
      <w:r w:rsidR="001C72C8">
        <w:t xml:space="preserve"> Tím se P</w:t>
      </w:r>
      <w:r w:rsidR="00BF2C83">
        <w:t xml:space="preserve">rogram zapojí do </w:t>
      </w:r>
      <w:r w:rsidR="00823388">
        <w:t>systému rozvoje bezpečnostních inovací.</w:t>
      </w:r>
      <w:r w:rsidR="00351134">
        <w:t xml:space="preserve"> </w:t>
      </w:r>
      <w:r w:rsidR="00345F05">
        <w:t xml:space="preserve">Protože je </w:t>
      </w:r>
      <w:r w:rsidR="00823388">
        <w:t xml:space="preserve">toto </w:t>
      </w:r>
      <w:r w:rsidR="00345F05">
        <w:t>prostředí vysoce specifické</w:t>
      </w:r>
      <w:r w:rsidR="008F521B">
        <w:t xml:space="preserve"> a zároveň z pohledu „netradičního“ dodav</w:t>
      </w:r>
      <w:r w:rsidR="001C72C8">
        <w:t>atele vysoce rizikové, přinese P</w:t>
      </w:r>
      <w:r w:rsidR="008F521B">
        <w:t xml:space="preserve">rogram </w:t>
      </w:r>
      <w:r w:rsidR="003F6251">
        <w:t>odstranění některých inovačních bariér</w:t>
      </w:r>
      <w:r w:rsidR="000B5248">
        <w:t xml:space="preserve"> pro jejich zapojení</w:t>
      </w:r>
      <w:r w:rsidR="003F6251">
        <w:t xml:space="preserve">. Vedle toho očekává poskytovatel – v návaznosti na zkušenosti z minulých generací programu – také sekundární přínosy pro zapojené organizace. </w:t>
      </w:r>
      <w:r w:rsidRPr="00F057D3">
        <w:t xml:space="preserve"> </w:t>
      </w:r>
    </w:p>
    <w:p w14:paraId="598167E1" w14:textId="77777777" w:rsidR="004C5BB7" w:rsidRPr="003B4314" w:rsidRDefault="004C5BB7" w:rsidP="009B202E">
      <w:pPr>
        <w:suppressLineNumbers/>
        <w:spacing w:before="100" w:after="120"/>
      </w:pPr>
      <w:r w:rsidRPr="003B4314">
        <w:t>Program má ambice přinést:</w:t>
      </w:r>
    </w:p>
    <w:p w14:paraId="547B0C76" w14:textId="77777777" w:rsidR="00016921" w:rsidRPr="003B4314" w:rsidRDefault="00016921" w:rsidP="009B202E">
      <w:pPr>
        <w:suppressLineNumbers/>
        <w:spacing w:after="120"/>
      </w:pPr>
      <w:r w:rsidRPr="003B4314">
        <w:t>Konečným uživatelům výsledků:</w:t>
      </w:r>
    </w:p>
    <w:p w14:paraId="0F99F006" w14:textId="1CDC8D8F" w:rsidR="00016921" w:rsidRPr="003B4314" w:rsidRDefault="00D679DD" w:rsidP="00F4225B">
      <w:pPr>
        <w:pStyle w:val="Odstavecseseznamem"/>
        <w:numPr>
          <w:ilvl w:val="0"/>
          <w:numId w:val="7"/>
        </w:numPr>
        <w:suppressLineNumbers/>
        <w:spacing w:after="120"/>
      </w:pPr>
      <w:r>
        <w:t>kontakt s výzkumným a inovačním sektorem a tím větší přehled o technologických možnostech a trendech, včetně možnosti navázat na tyto trendy pokročilé projekty v komplementárních nebo akvizičních programech</w:t>
      </w:r>
    </w:p>
    <w:p w14:paraId="2371138B" w14:textId="1AAB7CF0" w:rsidR="00D679DD" w:rsidRDefault="00D679DD" w:rsidP="00F4225B">
      <w:pPr>
        <w:pStyle w:val="Odstavecseseznamem"/>
        <w:numPr>
          <w:ilvl w:val="0"/>
          <w:numId w:val="7"/>
        </w:numPr>
        <w:suppressLineNumbers/>
        <w:spacing w:after="120"/>
      </w:pPr>
      <w:r>
        <w:t>možnost ovlivnit zacílení podpory i směřování projektů, tedy posílit roli při</w:t>
      </w:r>
      <w:r w:rsidR="00815943">
        <w:t xml:space="preserve"> určování </w:t>
      </w:r>
      <w:r w:rsidR="00016921" w:rsidRPr="003B4314">
        <w:t>kvalitativních požadavků na nové technologie</w:t>
      </w:r>
      <w:r w:rsidR="0089011F">
        <w:t xml:space="preserve"> a postupy</w:t>
      </w:r>
    </w:p>
    <w:p w14:paraId="1F99D1E6" w14:textId="3B0378FA" w:rsidR="00016921" w:rsidRPr="003B4314" w:rsidRDefault="00EA339C" w:rsidP="00F4225B">
      <w:pPr>
        <w:pStyle w:val="Odstavecseseznamem"/>
        <w:numPr>
          <w:ilvl w:val="0"/>
          <w:numId w:val="7"/>
        </w:numPr>
        <w:suppressLineNumbers/>
        <w:spacing w:after="120"/>
      </w:pPr>
      <w:r>
        <w:t>nástroj pro aktivní využití schopností výzkumné a inovační sféry k reakci na r</w:t>
      </w:r>
      <w:r w:rsidR="009331A7">
        <w:t>ychle přicházející společenské a technologické trendy, které mají zásadní dopad na bezpečnostní prostředí</w:t>
      </w:r>
    </w:p>
    <w:p w14:paraId="6B16357A" w14:textId="77777777" w:rsidR="00016921" w:rsidRPr="003B4314" w:rsidRDefault="00016921" w:rsidP="009B202E">
      <w:pPr>
        <w:suppressLineNumbers/>
        <w:spacing w:after="120"/>
      </w:pPr>
      <w:r w:rsidRPr="003B4314">
        <w:t>Výzkumníkům a inovátorům</w:t>
      </w:r>
      <w:r w:rsidR="002B13ED" w:rsidRPr="003B4314">
        <w:t>:</w:t>
      </w:r>
    </w:p>
    <w:p w14:paraId="27C6D828" w14:textId="2FAB47F2" w:rsidR="0057309D" w:rsidRDefault="0057309D" w:rsidP="00F4225B">
      <w:pPr>
        <w:pStyle w:val="Odstavecseseznamem"/>
        <w:numPr>
          <w:ilvl w:val="0"/>
          <w:numId w:val="8"/>
        </w:numPr>
        <w:suppressLineNumbers/>
        <w:spacing w:after="120"/>
      </w:pPr>
      <w:r>
        <w:t>nástroj pro</w:t>
      </w:r>
      <w:r w:rsidR="00D679DD">
        <w:t xml:space="preserve"> bezrizikové</w:t>
      </w:r>
      <w:r>
        <w:t xml:space="preserve"> financování konceptualizace a ověření potenciálních nových technologií</w:t>
      </w:r>
    </w:p>
    <w:p w14:paraId="4E0E69C1" w14:textId="0E72BD19" w:rsidR="00016921" w:rsidRPr="003B4314" w:rsidRDefault="0057309D" w:rsidP="00F4225B">
      <w:pPr>
        <w:pStyle w:val="Odstavecseseznamem"/>
        <w:numPr>
          <w:ilvl w:val="0"/>
          <w:numId w:val="8"/>
        </w:numPr>
        <w:suppressLineNumbers/>
        <w:spacing w:after="120"/>
      </w:pPr>
      <w:r>
        <w:t>výrazné snížení rizikovosti investice do vývoje inovativních bezpečnostních technologií</w:t>
      </w:r>
    </w:p>
    <w:p w14:paraId="19FBE243" w14:textId="172FE263" w:rsidR="00016921" w:rsidRDefault="0057309D" w:rsidP="00F4225B">
      <w:pPr>
        <w:pStyle w:val="Odstavecseseznamem"/>
        <w:numPr>
          <w:ilvl w:val="0"/>
          <w:numId w:val="8"/>
        </w:numPr>
        <w:suppressLineNumbers/>
        <w:spacing w:after="120"/>
      </w:pPr>
      <w:r>
        <w:t xml:space="preserve">interakci s uživatelem a přenos know-how, tím pádem </w:t>
      </w:r>
      <w:r w:rsidR="002B04C6">
        <w:t>v</w:t>
      </w:r>
      <w:r w:rsidR="00016921" w:rsidRPr="003B4314">
        <w:t>yšší kvalitu</w:t>
      </w:r>
      <w:r>
        <w:t xml:space="preserve"> (relevanci)</w:t>
      </w:r>
      <w:r w:rsidR="00016921" w:rsidRPr="003B4314">
        <w:t xml:space="preserve"> výsledků </w:t>
      </w:r>
      <w:r w:rsidR="000A0B35" w:rsidRPr="003B4314">
        <w:t>vedoucí</w:t>
      </w:r>
      <w:r w:rsidR="00016921" w:rsidRPr="003B4314">
        <w:t xml:space="preserve"> </w:t>
      </w:r>
      <w:r>
        <w:t xml:space="preserve">k </w:t>
      </w:r>
      <w:r w:rsidR="00016921" w:rsidRPr="003B4314">
        <w:t>vyšší konkurenceschopnost</w:t>
      </w:r>
      <w:r w:rsidR="000A0B35" w:rsidRPr="003B4314">
        <w:t>i</w:t>
      </w:r>
      <w:r>
        <w:t xml:space="preserve"> v tomto specifickém tržním segmentu</w:t>
      </w:r>
      <w:r w:rsidR="005279E1">
        <w:t xml:space="preserve">, </w:t>
      </w:r>
      <w:r w:rsidR="005279E1" w:rsidRPr="002A6D16">
        <w:rPr>
          <w:i/>
        </w:rPr>
        <w:t>což povede k podpoře excelentního výzkumu jako celku</w:t>
      </w:r>
    </w:p>
    <w:p w14:paraId="1390CA6A" w14:textId="5DD413B6" w:rsidR="003F6251" w:rsidRPr="003B4314" w:rsidRDefault="003F6251" w:rsidP="00F4225B">
      <w:pPr>
        <w:pStyle w:val="Odstavecseseznamem"/>
        <w:numPr>
          <w:ilvl w:val="0"/>
          <w:numId w:val="8"/>
        </w:numPr>
        <w:suppressLineNumbers/>
        <w:spacing w:after="120"/>
      </w:pPr>
      <w:r>
        <w:t xml:space="preserve">sekundární přínosy </w:t>
      </w:r>
      <w:r w:rsidR="00C77423">
        <w:t>pro organizaci příjemce (lidské zdroje</w:t>
      </w:r>
      <w:r w:rsidR="005279E1">
        <w:t xml:space="preserve"> – zapojení juniorních výzkumníků a zapojení žen</w:t>
      </w:r>
      <w:r w:rsidR="00C77423">
        <w:t>, portfolio, udržitelnost aktivit apod.</w:t>
      </w:r>
      <w:r w:rsidR="00BF2C83">
        <w:t>)</w:t>
      </w:r>
      <w:r w:rsidR="005279E1">
        <w:t xml:space="preserve">, tzn. podpora </w:t>
      </w:r>
      <w:r w:rsidR="005279E1" w:rsidRPr="002A6D16">
        <w:rPr>
          <w:i/>
        </w:rPr>
        <w:t>excelentního výzkumu</w:t>
      </w:r>
    </w:p>
    <w:p w14:paraId="513A2F22" w14:textId="77777777" w:rsidR="00016921" w:rsidRPr="003B4314" w:rsidRDefault="00016921" w:rsidP="009B202E">
      <w:pPr>
        <w:suppressLineNumbers/>
        <w:spacing w:after="120"/>
      </w:pPr>
      <w:r w:rsidRPr="003B4314">
        <w:t>Poskytovateli</w:t>
      </w:r>
      <w:r w:rsidR="002B13ED" w:rsidRPr="003B4314">
        <w:t>:</w:t>
      </w:r>
    </w:p>
    <w:p w14:paraId="402F1AEC" w14:textId="21F8C9A9" w:rsidR="00016921" w:rsidRPr="003B4314" w:rsidRDefault="002B04C6" w:rsidP="00F4225B">
      <w:pPr>
        <w:pStyle w:val="Odstavecseseznamem"/>
        <w:numPr>
          <w:ilvl w:val="0"/>
          <w:numId w:val="7"/>
        </w:numPr>
        <w:suppressLineNumbers/>
        <w:spacing w:after="120"/>
      </w:pPr>
      <w:r>
        <w:t>n</w:t>
      </w:r>
      <w:r w:rsidR="00016921" w:rsidRPr="003B4314">
        <w:t xml:space="preserve">ástroj pro podporu </w:t>
      </w:r>
      <w:r>
        <w:t xml:space="preserve">aplikovaného výzkumu a </w:t>
      </w:r>
      <w:r w:rsidR="00016921" w:rsidRPr="003B4314">
        <w:t xml:space="preserve">experimentálního vývoje a tím také </w:t>
      </w:r>
      <w:r w:rsidR="0057309D">
        <w:t>k dotvoření systému komplementárních programů, pokrývajícího celou škálu technologického vývoje od konceptu k testování a certifikaci</w:t>
      </w:r>
      <w:r w:rsidR="00364B4F">
        <w:t xml:space="preserve"> (na tento program lze navázat skrze potřeby v SecPro nebo vlastn</w:t>
      </w:r>
      <w:r w:rsidR="00815943">
        <w:t>í návrhy v SECTECH</w:t>
      </w:r>
      <w:r w:rsidR="00364B4F">
        <w:t>)</w:t>
      </w:r>
    </w:p>
    <w:p w14:paraId="6A2894F7" w14:textId="79A6D5B2" w:rsidR="00463354" w:rsidRDefault="00364B4F" w:rsidP="00F4225B">
      <w:pPr>
        <w:pStyle w:val="Odstavecseseznamem"/>
        <w:numPr>
          <w:ilvl w:val="0"/>
          <w:numId w:val="7"/>
        </w:numPr>
        <w:suppressLineNumbers/>
        <w:spacing w:after="120"/>
      </w:pPr>
      <w:r>
        <w:t>možnost sběru námětů, vycházejících především z kreativity výzkumné a inovační sféry a tím diverzifikaci portfolia podpořených projektů za rámec okamžitých nebo krátkodobých potřeb konečných uživatelů</w:t>
      </w:r>
    </w:p>
    <w:p w14:paraId="1D492896" w14:textId="2454E001" w:rsidR="00364B4F" w:rsidRDefault="00364B4F" w:rsidP="00F4225B">
      <w:pPr>
        <w:pStyle w:val="Odstavecseseznamem"/>
        <w:numPr>
          <w:ilvl w:val="0"/>
          <w:numId w:val="7"/>
        </w:numPr>
        <w:suppressLineNumbers/>
        <w:spacing w:after="120"/>
      </w:pPr>
      <w:r>
        <w:t xml:space="preserve">nástroj pro podporu periferních, přesto důležitých témat, s výrazně širším spektrem potenciálních uživatelů (města, občané, provozovatelé </w:t>
      </w:r>
      <w:r w:rsidR="000B0456">
        <w:t>infrastruktur…)</w:t>
      </w:r>
    </w:p>
    <w:p w14:paraId="60E1A73F" w14:textId="17A1FFDE" w:rsidR="00506CED" w:rsidRPr="00A837D4" w:rsidRDefault="00506CED">
      <w:pPr>
        <w:pStyle w:val="Nadpis1"/>
      </w:pPr>
      <w:bookmarkStart w:id="21" w:name="_Toc83296728"/>
      <w:r w:rsidRPr="00A837D4">
        <w:lastRenderedPageBreak/>
        <w:t>Členění na podprogramy</w:t>
      </w:r>
      <w:bookmarkEnd w:id="21"/>
    </w:p>
    <w:p w14:paraId="3CE1A52A" w14:textId="1A9C9C45" w:rsidR="00A23DF3" w:rsidRPr="004B6BFD" w:rsidRDefault="00A23DF3" w:rsidP="004B6BFD">
      <w:r w:rsidRPr="004B6BFD">
        <w:t xml:space="preserve">Program je členěn na 3 podprogramy, které reprezentují podmnožiny priorit MKBV2017+ při současné reflexi priorit platných strategických a koncepčních dokumentů bezpečnostní politiky (včetně jejich aktualizací po roce 2017), výstupy z průzkumu poptávky ve výzkumné sféře a v neposlední řadě také vysoce specializovaných silných stránek komunity BV v ČR, která se za dobu existence těchto podpor vytvořila. </w:t>
      </w:r>
    </w:p>
    <w:p w14:paraId="1CADFD6E" w14:textId="3D9B4052" w:rsidR="00017873" w:rsidRDefault="00017873" w:rsidP="00EA339C">
      <w:pPr>
        <w:pStyle w:val="Nadpis2"/>
      </w:pPr>
      <w:bookmarkStart w:id="22" w:name="_Toc83296729"/>
      <w:r>
        <w:t>Podprogram 1: Rozvoj schopností vymáhání práva</w:t>
      </w:r>
      <w:bookmarkEnd w:id="22"/>
    </w:p>
    <w:p w14:paraId="2986694B" w14:textId="77777777" w:rsidR="00506E69" w:rsidRPr="00E85887" w:rsidRDefault="00506E69" w:rsidP="00506E69">
      <w:pPr>
        <w:pStyle w:val="Nadpis3"/>
      </w:pPr>
      <w:bookmarkStart w:id="23" w:name="_Toc83296730"/>
      <w:r>
        <w:t>Očekávané přínosy podprogramu 1</w:t>
      </w:r>
      <w:bookmarkEnd w:id="23"/>
    </w:p>
    <w:p w14:paraId="24823293" w14:textId="6AAF2502" w:rsidR="00506E69" w:rsidRDefault="00506E69" w:rsidP="00506E69">
      <w:r>
        <w:t xml:space="preserve">Podprogram přinese cílené zaměření pozornosti žadatelů na priority MKBV2017+ „Efektivní zásah“ </w:t>
      </w:r>
      <w:r w:rsidR="00163ACD">
        <w:br/>
      </w:r>
      <w:r>
        <w:t xml:space="preserve">a „Adaptabilní bezpečnostní systém“ v oblasti boje proti organizovanému zločinu a dalším závažným formám kriminality, s důrazem na priority Koncepce rozvoje Policie ČR a dalších souvisejících dokumentů. Tyto hrozby i schopnosti, nasazované v rámci boje proti nim se od další činnosti bezpečnostních sborů výrazně liší, jsou charakteristické neustále se adaptujícím oponentem a vysokou mírou inovace na jeho straně. Zároveň reprezentují značnou část inovační poptávky policie (a dalších bezpečnostních sborů). </w:t>
      </w:r>
    </w:p>
    <w:p w14:paraId="31DAF118" w14:textId="77777777" w:rsidR="00506E69" w:rsidRDefault="00506E69" w:rsidP="00506E69">
      <w:r>
        <w:t>V rámci bezpečnostní politiky vynikají následující zájmové oblasti, reprezentující jádro poptávky konečných uživatelů výsledků, a tedy i žádoucí oblasti přínosu projektů:</w:t>
      </w:r>
    </w:p>
    <w:p w14:paraId="375FE855" w14:textId="77777777" w:rsidR="00506E69" w:rsidRDefault="00506E69" w:rsidP="00506E69">
      <w:pPr>
        <w:pStyle w:val="Odstavecseseznamem"/>
        <w:numPr>
          <w:ilvl w:val="0"/>
          <w:numId w:val="34"/>
        </w:numPr>
      </w:pPr>
      <w:r>
        <w:t>Forenzní zkoumání, které je dlouhodobě páteří vyšetřování prakticky všech druhů kriminality (cíl A)</w:t>
      </w:r>
      <w:r w:rsidRPr="00812EA7">
        <w:t xml:space="preserve"> </w:t>
      </w:r>
    </w:p>
    <w:p w14:paraId="7560CAB6" w14:textId="77777777" w:rsidR="00506E69" w:rsidRDefault="00506E69" w:rsidP="00506E69">
      <w:pPr>
        <w:pStyle w:val="Odstavecseseznamem"/>
        <w:numPr>
          <w:ilvl w:val="0"/>
          <w:numId w:val="34"/>
        </w:numPr>
      </w:pPr>
      <w:r>
        <w:t>Adaptace na trendy závažné kriminality a zneužívání moderních technologií k jejímu páchání (cíle B – D)</w:t>
      </w:r>
    </w:p>
    <w:p w14:paraId="1D4D8D0C" w14:textId="77777777" w:rsidR="00506E69" w:rsidRDefault="00506E69" w:rsidP="00506E69">
      <w:pPr>
        <w:pStyle w:val="Odstavecseseznamem"/>
        <w:numPr>
          <w:ilvl w:val="0"/>
          <w:numId w:val="34"/>
        </w:numPr>
      </w:pPr>
      <w:r>
        <w:t>Analytika, práce s informacemi a efektivní vytěžování maximálního spektra informačních zdrojů (cíl E)</w:t>
      </w:r>
    </w:p>
    <w:p w14:paraId="42BC56AE" w14:textId="52AA5421" w:rsidR="00506E69" w:rsidRDefault="00506E69" w:rsidP="004B6BFD">
      <w:pPr>
        <w:pStyle w:val="Odstavecseseznamem"/>
        <w:numPr>
          <w:ilvl w:val="0"/>
          <w:numId w:val="34"/>
        </w:numPr>
      </w:pPr>
      <w:r>
        <w:t>Znalostní a technologická základna pro inovace ve vyšetřování prioritizovaných typů závažné trestné činnosti (cíle F – I)</w:t>
      </w:r>
    </w:p>
    <w:p w14:paraId="07FF5A6A" w14:textId="1060FA50" w:rsidR="00931711" w:rsidRDefault="00931711" w:rsidP="004B6BFD">
      <w:pPr>
        <w:pStyle w:val="Nadpis3"/>
      </w:pPr>
      <w:bookmarkStart w:id="24" w:name="_Toc83296731"/>
      <w:r>
        <w:t>Cíle a zaměření podprogramu 1</w:t>
      </w:r>
      <w:bookmarkEnd w:id="24"/>
    </w:p>
    <w:p w14:paraId="7C084D0B" w14:textId="3606A462" w:rsidR="00A2551E" w:rsidRDefault="002E1B23" w:rsidP="004B6BFD">
      <w:pPr>
        <w:pStyle w:val="Odstavecseseznamem"/>
        <w:numPr>
          <w:ilvl w:val="0"/>
          <w:numId w:val="35"/>
        </w:numPr>
      </w:pPr>
      <w:r w:rsidRPr="00DC6348">
        <w:t>Moderní nástroje forenzního zkoumání</w:t>
      </w:r>
      <w:r>
        <w:t xml:space="preserve"> napříč obory</w:t>
      </w:r>
    </w:p>
    <w:p w14:paraId="2480D8BB" w14:textId="5AEAC805" w:rsidR="002E1B23" w:rsidRDefault="002E1B23" w:rsidP="004B6BFD">
      <w:pPr>
        <w:pStyle w:val="Odstavecseseznamem"/>
        <w:numPr>
          <w:ilvl w:val="0"/>
          <w:numId w:val="35"/>
        </w:numPr>
      </w:pPr>
      <w:r>
        <w:t xml:space="preserve">Technologie a znalosti pro adaptaci na zneužívání moderních technologií k páchání trestné činnosti </w:t>
      </w:r>
      <w:r w:rsidR="008E31C3">
        <w:t xml:space="preserve">a pro online vyšetřování </w:t>
      </w:r>
    </w:p>
    <w:p w14:paraId="7E0752C0" w14:textId="36D93D50" w:rsidR="002E1B23" w:rsidRDefault="002E1B23" w:rsidP="004B6BFD">
      <w:pPr>
        <w:pStyle w:val="Odstavecseseznamem"/>
        <w:numPr>
          <w:ilvl w:val="0"/>
          <w:numId w:val="35"/>
        </w:numPr>
      </w:pPr>
      <w:r>
        <w:t xml:space="preserve">Technologie a znalosti pro odhalování a prokazování speciálních typů organizované trestné činnosti, zejm. environmentální kriminality, padělání a ilegálního obchodu s uměním nebo předměty kulturního dědictví či s dalšími kvazikomoditami </w:t>
      </w:r>
    </w:p>
    <w:p w14:paraId="53238571" w14:textId="77777777" w:rsidR="00A2551E" w:rsidRDefault="00A2551E" w:rsidP="00A2551E">
      <w:pPr>
        <w:pStyle w:val="Odstavecseseznamem"/>
        <w:numPr>
          <w:ilvl w:val="0"/>
          <w:numId w:val="35"/>
        </w:numPr>
        <w:spacing w:after="160" w:line="259" w:lineRule="auto"/>
        <w:jc w:val="left"/>
      </w:pPr>
      <w:r>
        <w:t>Technologie pro prvosledové jednotky, zásahové a speciální jednotky</w:t>
      </w:r>
    </w:p>
    <w:p w14:paraId="1B22B63A" w14:textId="47013B2C" w:rsidR="00961C6A" w:rsidRDefault="008E31C3" w:rsidP="004B6BFD">
      <w:pPr>
        <w:pStyle w:val="Odstavecseseznamem"/>
        <w:numPr>
          <w:ilvl w:val="0"/>
          <w:numId w:val="35"/>
        </w:numPr>
      </w:pPr>
      <w:r>
        <w:t>Strategická, taktická a kriminální analýza a metody práce s informacemi, včetně nástrojů jejich získávání a zpracování ze širokého spektra zdrojů</w:t>
      </w:r>
    </w:p>
    <w:p w14:paraId="5A1B005C" w14:textId="77777777" w:rsidR="00A2551E" w:rsidRDefault="00A2551E" w:rsidP="004B6BFD">
      <w:pPr>
        <w:pStyle w:val="Odstavecseseznamem"/>
        <w:numPr>
          <w:ilvl w:val="0"/>
          <w:numId w:val="35"/>
        </w:numPr>
      </w:pPr>
      <w:r>
        <w:t>Technologie a znalosti k odhalování a prokazování kybernetické kriminality</w:t>
      </w:r>
    </w:p>
    <w:p w14:paraId="385E8B94" w14:textId="5C8D4337" w:rsidR="00A2551E" w:rsidRDefault="00A2551E" w:rsidP="004B6BFD">
      <w:pPr>
        <w:pStyle w:val="Odstavecseseznamem"/>
        <w:numPr>
          <w:ilvl w:val="0"/>
          <w:numId w:val="35"/>
        </w:numPr>
      </w:pPr>
      <w:r>
        <w:t>Technologie a znalosti k odhalování a prokazování obchodu s drogami</w:t>
      </w:r>
    </w:p>
    <w:p w14:paraId="402AA696" w14:textId="77777777" w:rsidR="00A2551E" w:rsidRDefault="00A2551E" w:rsidP="004B6BFD">
      <w:pPr>
        <w:pStyle w:val="Odstavecseseznamem"/>
        <w:numPr>
          <w:ilvl w:val="0"/>
          <w:numId w:val="35"/>
        </w:numPr>
      </w:pPr>
      <w:r>
        <w:t>Technologie a znalosti k odhalování a prokazování korupce a hospodářské kriminality</w:t>
      </w:r>
    </w:p>
    <w:p w14:paraId="3F45AACC" w14:textId="6E000F40" w:rsidR="00A2551E" w:rsidRDefault="00A2551E" w:rsidP="007A1375">
      <w:pPr>
        <w:pStyle w:val="Odstavecseseznamem"/>
        <w:numPr>
          <w:ilvl w:val="0"/>
          <w:numId w:val="35"/>
        </w:numPr>
      </w:pPr>
      <w:r>
        <w:t>Technologie a znalosti k odhalování a prokazování nelegální migrace a obchodu s lidmi</w:t>
      </w:r>
    </w:p>
    <w:p w14:paraId="70ADD69F" w14:textId="1EC5DAE3" w:rsidR="00961C6A" w:rsidRPr="00EA339C" w:rsidRDefault="00961C6A" w:rsidP="004B6BFD">
      <w:pPr>
        <w:pStyle w:val="Nadpis3"/>
        <w:rPr>
          <w:rFonts w:asciiTheme="minorHAnsi" w:eastAsiaTheme="minorEastAsia" w:hAnsiTheme="minorHAnsi" w:cstheme="minorBidi"/>
          <w:color w:val="auto"/>
        </w:rPr>
      </w:pPr>
      <w:bookmarkStart w:id="25" w:name="_Toc83296732"/>
      <w:r>
        <w:t>Finanční alokace na podprogram 1</w:t>
      </w:r>
      <w:bookmarkEnd w:id="25"/>
    </w:p>
    <w:p w14:paraId="2B260E12" w14:textId="24DF97F8" w:rsidR="00017873" w:rsidRPr="00EA339C" w:rsidRDefault="00B73992" w:rsidP="004B6BFD">
      <w:r w:rsidRPr="004B6BFD">
        <w:rPr>
          <w:b/>
        </w:rPr>
        <w:t>Finanční alokace na podprogram 1 činí 30% celkových nákladů programu v každém roce</w:t>
      </w:r>
      <w:r w:rsidR="00815943">
        <w:rPr>
          <w:b/>
        </w:rPr>
        <w:t>.</w:t>
      </w:r>
    </w:p>
    <w:p w14:paraId="491E27B7" w14:textId="1FDA518E" w:rsidR="00017873" w:rsidRDefault="00017873">
      <w:pPr>
        <w:pStyle w:val="Nadpis2"/>
      </w:pPr>
      <w:bookmarkStart w:id="26" w:name="_Toc83296733"/>
      <w:r>
        <w:lastRenderedPageBreak/>
        <w:t xml:space="preserve">Podprogram 2: </w:t>
      </w:r>
      <w:r w:rsidRPr="00017873">
        <w:t>Krizová připravenost bezpečnostních a záchranných sborů</w:t>
      </w:r>
      <w:bookmarkEnd w:id="26"/>
    </w:p>
    <w:p w14:paraId="32559913" w14:textId="77777777" w:rsidR="00506E69" w:rsidRPr="00AC75F9" w:rsidRDefault="00506E69" w:rsidP="00506E69">
      <w:pPr>
        <w:pStyle w:val="Nadpis3"/>
      </w:pPr>
      <w:bookmarkStart w:id="27" w:name="_Toc83296734"/>
      <w:r>
        <w:t>Očekávané přínosy podprogramu 2</w:t>
      </w:r>
      <w:bookmarkEnd w:id="27"/>
    </w:p>
    <w:p w14:paraId="15778031" w14:textId="0E04BA50" w:rsidR="00506E69" w:rsidRDefault="00506E69" w:rsidP="003236CE">
      <w:r w:rsidRPr="00AC75F9">
        <w:t xml:space="preserve">Podprogram přinese cílené zaměření pozornosti žadatelů na priority MKBV2017+ „Efektivní zásah“ </w:t>
      </w:r>
      <w:r w:rsidR="00815943">
        <w:br/>
      </w:r>
      <w:r w:rsidRPr="00AC75F9">
        <w:t>a „Adaptabilní bezpečnostní systém“ v</w:t>
      </w:r>
      <w:r>
        <w:t> </w:t>
      </w:r>
      <w:r w:rsidRPr="00AC75F9">
        <w:t>oblas</w:t>
      </w:r>
      <w:r>
        <w:t xml:space="preserve">ti krizové připravenosti bezpečnostních a záchranných sborů s důrazem na priority rozvojových dokumentů v oblasti krizového řízení a ochrany obyvatelstva. </w:t>
      </w:r>
    </w:p>
    <w:p w14:paraId="16B56A1F" w14:textId="4E72E024" w:rsidR="00506E69" w:rsidRDefault="00506E69" w:rsidP="00506E69">
      <w:r>
        <w:t>V rámci bezpečnostní politiky vynikají následující zájmové oblasti</w:t>
      </w:r>
      <w:r w:rsidR="00815943">
        <w:t xml:space="preserve">, reprezentující jádro poptávky </w:t>
      </w:r>
      <w:r>
        <w:t>konečných uživatelů výsledků, a tedy i žádoucí oblasti přínosu projektů:</w:t>
      </w:r>
    </w:p>
    <w:p w14:paraId="2C195102" w14:textId="48128438" w:rsidR="00506E69" w:rsidRDefault="00EF61E8" w:rsidP="004B6BFD">
      <w:pPr>
        <w:pStyle w:val="Odstavecseseznamem"/>
        <w:numPr>
          <w:ilvl w:val="0"/>
          <w:numId w:val="34"/>
        </w:numPr>
      </w:pPr>
      <w:r>
        <w:t>Zvládání p</w:t>
      </w:r>
      <w:r w:rsidR="00506E69">
        <w:t>řírodní</w:t>
      </w:r>
      <w:r>
        <w:t>ch</w:t>
      </w:r>
      <w:r w:rsidR="00506E69">
        <w:t xml:space="preserve"> katastrof, průmyslov</w:t>
      </w:r>
      <w:r>
        <w:t>ých</w:t>
      </w:r>
      <w:r w:rsidR="00506E69">
        <w:t xml:space="preserve"> havári</w:t>
      </w:r>
      <w:r>
        <w:t>í</w:t>
      </w:r>
      <w:r w:rsidR="00506E69">
        <w:t xml:space="preserve"> a další</w:t>
      </w:r>
      <w:r>
        <w:t>ch</w:t>
      </w:r>
      <w:r w:rsidR="00506E69">
        <w:t xml:space="preserve"> incident</w:t>
      </w:r>
      <w:r>
        <w:t>ů</w:t>
      </w:r>
      <w:r w:rsidR="00506E69">
        <w:t xml:space="preserve"> s potenciálně vysokým počtem obětí</w:t>
      </w:r>
      <w:r>
        <w:t xml:space="preserve"> (cíle A – C)</w:t>
      </w:r>
    </w:p>
    <w:p w14:paraId="0967436C" w14:textId="141A7479" w:rsidR="00EF61E8" w:rsidRDefault="00EF61E8" w:rsidP="004B6BFD">
      <w:pPr>
        <w:pStyle w:val="Odstavecseseznamem"/>
        <w:numPr>
          <w:ilvl w:val="0"/>
          <w:numId w:val="34"/>
        </w:numPr>
      </w:pPr>
      <w:r>
        <w:t>Problematika efektivního nasazování a ochrany sil a prostředků bezpečnostního systému (cíle D-F)</w:t>
      </w:r>
    </w:p>
    <w:p w14:paraId="55F2F17D" w14:textId="429B8B59" w:rsidR="00EF61E8" w:rsidRPr="004B6BFD" w:rsidRDefault="00EF61E8" w:rsidP="004B6BFD">
      <w:pPr>
        <w:pStyle w:val="Odstavecseseznamem"/>
        <w:numPr>
          <w:ilvl w:val="0"/>
          <w:numId w:val="34"/>
        </w:numPr>
      </w:pPr>
      <w:r>
        <w:t xml:space="preserve">Služební příprava a výcvik napříč schopnostmi bezpečnostních a záchranných sborů (cíle G – H) </w:t>
      </w:r>
    </w:p>
    <w:p w14:paraId="75276875" w14:textId="02C177C7" w:rsidR="00961C6A" w:rsidRDefault="00961C6A" w:rsidP="004B6BFD">
      <w:pPr>
        <w:pStyle w:val="Nadpis3"/>
      </w:pPr>
      <w:bookmarkStart w:id="28" w:name="_Toc83296735"/>
      <w:r>
        <w:t>Cíle a zaměření podprogramu 2</w:t>
      </w:r>
      <w:bookmarkEnd w:id="28"/>
    </w:p>
    <w:p w14:paraId="5B3297C0" w14:textId="76FDA863" w:rsidR="002E1B23" w:rsidRDefault="002E1B23" w:rsidP="004B6BFD">
      <w:pPr>
        <w:pStyle w:val="Odstavecseseznamem"/>
        <w:numPr>
          <w:ilvl w:val="0"/>
          <w:numId w:val="37"/>
        </w:numPr>
        <w:spacing w:after="160" w:line="259" w:lineRule="auto"/>
        <w:jc w:val="left"/>
      </w:pPr>
      <w:r>
        <w:t>Technologie a znalosti pro zvládání incidentů s přítomností CBRN látek</w:t>
      </w:r>
      <w:r w:rsidR="00CE1A76">
        <w:t xml:space="preserve"> a/nebo výbušnin</w:t>
      </w:r>
    </w:p>
    <w:p w14:paraId="3EF47558" w14:textId="75635A4D" w:rsidR="002E1B23" w:rsidRDefault="002E1B23" w:rsidP="004B6BFD">
      <w:pPr>
        <w:pStyle w:val="Odstavecseseznamem"/>
        <w:numPr>
          <w:ilvl w:val="0"/>
          <w:numId w:val="37"/>
        </w:numPr>
        <w:spacing w:after="160" w:line="259" w:lineRule="auto"/>
        <w:jc w:val="left"/>
      </w:pPr>
      <w:r>
        <w:t>Technologie a znalosti pro zvládání katastrof, průmyslových havárií a incidentů s vysokým počtem obětí</w:t>
      </w:r>
    </w:p>
    <w:p w14:paraId="43468D95" w14:textId="77777777" w:rsidR="002E1B23" w:rsidRDefault="002E1B23" w:rsidP="004B6BFD">
      <w:pPr>
        <w:pStyle w:val="Odstavecseseznamem"/>
        <w:numPr>
          <w:ilvl w:val="0"/>
          <w:numId w:val="37"/>
        </w:numPr>
        <w:spacing w:after="160" w:line="259" w:lineRule="auto"/>
        <w:jc w:val="left"/>
      </w:pPr>
      <w:r>
        <w:t>Technologie a znalosti pro vyšetřování požárů a průmyslových havárií</w:t>
      </w:r>
    </w:p>
    <w:p w14:paraId="65B1FFF0" w14:textId="44C5B9BF" w:rsidR="00120ADE" w:rsidRDefault="00120ADE" w:rsidP="004B6BFD">
      <w:pPr>
        <w:pStyle w:val="Odstavecseseznamem"/>
        <w:numPr>
          <w:ilvl w:val="0"/>
          <w:numId w:val="37"/>
        </w:numPr>
        <w:spacing w:after="160" w:line="259" w:lineRule="auto"/>
        <w:jc w:val="left"/>
      </w:pPr>
      <w:r>
        <w:t>Technologie a znalosti pro sledování a snižování zdravotní zátěže a zdravotních rizik u příslušníků bezpečnostního systému, jak během zásahu, tak dlouhodobě</w:t>
      </w:r>
    </w:p>
    <w:p w14:paraId="04B25417" w14:textId="68F36ECE" w:rsidR="002E1B23" w:rsidRDefault="00533541" w:rsidP="004B6BFD">
      <w:pPr>
        <w:pStyle w:val="Odstavecseseznamem"/>
        <w:numPr>
          <w:ilvl w:val="0"/>
          <w:numId w:val="37"/>
        </w:numPr>
        <w:spacing w:after="160" w:line="259" w:lineRule="auto"/>
        <w:jc w:val="left"/>
      </w:pPr>
      <w:r>
        <w:t>Technologie a znalosti pro zajištění efektivní d</w:t>
      </w:r>
      <w:r w:rsidR="002E1B23">
        <w:t>ostupnost</w:t>
      </w:r>
      <w:r>
        <w:t>i</w:t>
      </w:r>
      <w:r w:rsidR="002E1B23">
        <w:t xml:space="preserve"> služeb bezpečnostního systému a </w:t>
      </w:r>
      <w:r>
        <w:t xml:space="preserve">pro </w:t>
      </w:r>
      <w:r w:rsidR="002E1B23">
        <w:t>operační řízení</w:t>
      </w:r>
    </w:p>
    <w:p w14:paraId="4850AA5B" w14:textId="3840BA05" w:rsidR="002E1B23" w:rsidRDefault="00120ADE" w:rsidP="004B6BFD">
      <w:pPr>
        <w:pStyle w:val="Odstavecseseznamem"/>
        <w:numPr>
          <w:ilvl w:val="0"/>
          <w:numId w:val="37"/>
        </w:numPr>
        <w:spacing w:after="160" w:line="259" w:lineRule="auto"/>
        <w:jc w:val="left"/>
      </w:pPr>
      <w:r>
        <w:t>Technologie a znalosti pro zvýšení e</w:t>
      </w:r>
      <w:r w:rsidR="002E1B23">
        <w:t>konomi</w:t>
      </w:r>
      <w:r>
        <w:t>cké efektivity při zajišťování</w:t>
      </w:r>
      <w:r w:rsidR="002E1B23">
        <w:t xml:space="preserve"> služeb bezpečnostního systému</w:t>
      </w:r>
    </w:p>
    <w:p w14:paraId="03DF349D" w14:textId="33E45F77" w:rsidR="00961C6A" w:rsidRDefault="002E1B23" w:rsidP="004B6BFD">
      <w:pPr>
        <w:pStyle w:val="Odstavecseseznamem"/>
        <w:numPr>
          <w:ilvl w:val="0"/>
          <w:numId w:val="37"/>
        </w:numPr>
        <w:spacing w:after="160" w:line="259" w:lineRule="auto"/>
        <w:jc w:val="left"/>
      </w:pPr>
      <w:r>
        <w:t xml:space="preserve">Výcvikové </w:t>
      </w:r>
      <w:r w:rsidR="00533541">
        <w:t xml:space="preserve">metody a </w:t>
      </w:r>
      <w:r>
        <w:t>technologie</w:t>
      </w:r>
    </w:p>
    <w:p w14:paraId="1791F2D3" w14:textId="3AA77E00" w:rsidR="00CE1A76" w:rsidRDefault="00120ADE" w:rsidP="004B6BFD">
      <w:pPr>
        <w:pStyle w:val="Odstavecseseznamem"/>
        <w:numPr>
          <w:ilvl w:val="0"/>
          <w:numId w:val="37"/>
        </w:numPr>
        <w:spacing w:after="160" w:line="259" w:lineRule="auto"/>
        <w:jc w:val="left"/>
      </w:pPr>
      <w:r>
        <w:t>Technologie a znalosti pro rozvoj práce se služebními zvířaty</w:t>
      </w:r>
    </w:p>
    <w:p w14:paraId="6B2A972B" w14:textId="7CD9121D" w:rsidR="00364B4F" w:rsidRPr="004B6BFD" w:rsidRDefault="00961C6A" w:rsidP="004B6BFD">
      <w:pPr>
        <w:pStyle w:val="Nadpis3"/>
      </w:pPr>
      <w:bookmarkStart w:id="29" w:name="_Toc83296736"/>
      <w:r>
        <w:t>Finanční alokace na podprogram 2</w:t>
      </w:r>
      <w:bookmarkEnd w:id="29"/>
    </w:p>
    <w:p w14:paraId="4FED6365" w14:textId="2DE095E3" w:rsidR="00017873" w:rsidRPr="00EA339C" w:rsidRDefault="00B73992" w:rsidP="004B6BFD">
      <w:r w:rsidRPr="004B6BFD">
        <w:rPr>
          <w:b/>
        </w:rPr>
        <w:t>Finanční alokace na podprogram 2 činí 30% celkových nákladů programu v každém roce</w:t>
      </w:r>
      <w:r w:rsidR="00815943">
        <w:rPr>
          <w:b/>
        </w:rPr>
        <w:t>.</w:t>
      </w:r>
    </w:p>
    <w:p w14:paraId="58641F68" w14:textId="4814D9C5" w:rsidR="00017873" w:rsidRDefault="00017873">
      <w:pPr>
        <w:pStyle w:val="Nadpis2"/>
      </w:pPr>
      <w:bookmarkStart w:id="30" w:name="_Toc83296737"/>
      <w:r>
        <w:t xml:space="preserve">Podprogram 3: </w:t>
      </w:r>
      <w:r w:rsidRPr="00017873">
        <w:t>Odolná společnost</w:t>
      </w:r>
      <w:bookmarkEnd w:id="30"/>
      <w:r w:rsidRPr="00017873">
        <w:t xml:space="preserve">  </w:t>
      </w:r>
    </w:p>
    <w:p w14:paraId="09C17ED3" w14:textId="77777777" w:rsidR="00EF61E8" w:rsidRPr="00AC75F9" w:rsidRDefault="00EF61E8" w:rsidP="00EF61E8">
      <w:pPr>
        <w:pStyle w:val="Nadpis3"/>
      </w:pPr>
      <w:bookmarkStart w:id="31" w:name="_Toc83296738"/>
      <w:r>
        <w:t>Očekávané přínosy podprogramu 3</w:t>
      </w:r>
      <w:bookmarkEnd w:id="31"/>
    </w:p>
    <w:p w14:paraId="227D6CC4" w14:textId="7A216552" w:rsidR="00A702B3" w:rsidRDefault="00A23DF3" w:rsidP="00EF61E8">
      <w:r w:rsidRPr="00AC75F9">
        <w:t>Podprogram přinese cílené zaměření pozornosti žadatelů na priorit</w:t>
      </w:r>
      <w:r>
        <w:t>u</w:t>
      </w:r>
      <w:r w:rsidRPr="00AC75F9">
        <w:t xml:space="preserve"> MKBV2017+ „</w:t>
      </w:r>
      <w:r>
        <w:t xml:space="preserve">Resilientní komunity“. Záměrně jde o podprogram charakteristický velkou diverzitou témat, stále ale vychází nebo zahrnují priority strategických a koncepčních dokumentů bezpečnostní politiky. Specificky jsou zahrnuta témata, kde dochází ke značnému překryvu mezi činností bezpečnostního systému, resp. jeho jednotlivých složek s aktivitami dalších aktérů (samosprávy, neziskový sektor, další úřady, občané </w:t>
      </w:r>
      <w:r w:rsidR="00163ACD">
        <w:t>přímo.).</w:t>
      </w:r>
      <w:r>
        <w:t xml:space="preserve"> Mezi nejvýznamnější vstupy lze zařadit Koncepci prevence kriminality a odpovídající pasáže Koncepce rozvoje PČR, dále Koncepci environmentální bezpečnosti. </w:t>
      </w:r>
      <w:r w:rsidR="00A702B3">
        <w:t xml:space="preserve">I plnění těchto zadání lze vnímat za přínos podprogramu 3. </w:t>
      </w:r>
    </w:p>
    <w:p w14:paraId="12D11CF6" w14:textId="76B2FB42" w:rsidR="00A702B3" w:rsidRDefault="00A702B3" w:rsidP="00EF61E8">
      <w:r>
        <w:t>Rozsah témat odpovídá členění priority „Resilientní komunity“:</w:t>
      </w:r>
    </w:p>
    <w:p w14:paraId="4E7323E7" w14:textId="77777777" w:rsidR="00A702B3" w:rsidRDefault="00A702B3" w:rsidP="004B6BFD">
      <w:pPr>
        <w:pStyle w:val="Odstavecseseznamem"/>
        <w:numPr>
          <w:ilvl w:val="0"/>
          <w:numId w:val="45"/>
        </w:numPr>
      </w:pPr>
      <w:r>
        <w:t>Bezpečná infrastruktura (cíle A-D)</w:t>
      </w:r>
    </w:p>
    <w:p w14:paraId="77E97868" w14:textId="3C88357C" w:rsidR="00A702B3" w:rsidRDefault="00A702B3" w:rsidP="00A837D4">
      <w:pPr>
        <w:pStyle w:val="Odstavecseseznamem"/>
        <w:numPr>
          <w:ilvl w:val="0"/>
          <w:numId w:val="45"/>
        </w:numPr>
      </w:pPr>
      <w:r>
        <w:t>Bezpečný veřejný prostor (cíle E-I)</w:t>
      </w:r>
    </w:p>
    <w:p w14:paraId="51968B9D" w14:textId="4CA7769A" w:rsidR="00A702B3" w:rsidRDefault="00A702B3" w:rsidP="004B6BFD">
      <w:pPr>
        <w:pStyle w:val="Odstavecseseznamem"/>
        <w:numPr>
          <w:ilvl w:val="0"/>
          <w:numId w:val="45"/>
        </w:numPr>
      </w:pPr>
      <w:r>
        <w:t>Environmentální bezpečnost (cíle J-L)</w:t>
      </w:r>
    </w:p>
    <w:p w14:paraId="6F20784A" w14:textId="3F5328D5" w:rsidR="00961C6A" w:rsidRDefault="00961C6A" w:rsidP="004B6BFD">
      <w:pPr>
        <w:pStyle w:val="Nadpis3"/>
      </w:pPr>
      <w:bookmarkStart w:id="32" w:name="_Toc83296739"/>
      <w:r>
        <w:lastRenderedPageBreak/>
        <w:t>Cíle a zaměření podprogramu 3</w:t>
      </w:r>
      <w:bookmarkEnd w:id="32"/>
    </w:p>
    <w:p w14:paraId="044D3553" w14:textId="77777777" w:rsidR="002E1B23" w:rsidRDefault="002E1B23" w:rsidP="004B6BFD">
      <w:pPr>
        <w:pStyle w:val="Odstavecseseznamem"/>
        <w:numPr>
          <w:ilvl w:val="0"/>
          <w:numId w:val="36"/>
        </w:numPr>
        <w:spacing w:after="160" w:line="259" w:lineRule="auto"/>
        <w:jc w:val="left"/>
      </w:pPr>
      <w:r>
        <w:t>Kyberbezpečnost kritické infrastruktury a klíčových služeb</w:t>
      </w:r>
    </w:p>
    <w:p w14:paraId="210368E7" w14:textId="77777777" w:rsidR="002E1B23" w:rsidRDefault="002E1B23" w:rsidP="004B6BFD">
      <w:pPr>
        <w:pStyle w:val="Odstavecseseznamem"/>
        <w:numPr>
          <w:ilvl w:val="0"/>
          <w:numId w:val="36"/>
        </w:numPr>
        <w:spacing w:after="160" w:line="259" w:lineRule="auto"/>
        <w:jc w:val="left"/>
      </w:pPr>
      <w:r>
        <w:t xml:space="preserve">Fyzická ochrana KI </w:t>
      </w:r>
    </w:p>
    <w:p w14:paraId="1ADC1ECB" w14:textId="126E02F0" w:rsidR="002E1B23" w:rsidRDefault="002E1B23" w:rsidP="004B6BFD">
      <w:pPr>
        <w:pStyle w:val="Odstavecseseznamem"/>
        <w:numPr>
          <w:ilvl w:val="0"/>
          <w:numId w:val="36"/>
        </w:numPr>
        <w:spacing w:after="160" w:line="259" w:lineRule="auto"/>
        <w:jc w:val="left"/>
      </w:pPr>
      <w:r>
        <w:t>Bezpečnost a vymáhání práva v dopravě</w:t>
      </w:r>
    </w:p>
    <w:p w14:paraId="0996000E" w14:textId="77777777" w:rsidR="002E1B23" w:rsidRDefault="002E1B23" w:rsidP="004B6BFD">
      <w:pPr>
        <w:pStyle w:val="Odstavecseseznamem"/>
        <w:numPr>
          <w:ilvl w:val="0"/>
          <w:numId w:val="36"/>
        </w:numPr>
        <w:spacing w:after="160" w:line="259" w:lineRule="auto"/>
        <w:jc w:val="left"/>
      </w:pPr>
      <w:r>
        <w:t>Bezpečnost a autenticita v dodavatelských řetězcích a ekonomických vztazích</w:t>
      </w:r>
    </w:p>
    <w:p w14:paraId="6806312B" w14:textId="77777777" w:rsidR="002E1B23" w:rsidRDefault="002E1B23" w:rsidP="004B6BFD">
      <w:pPr>
        <w:pStyle w:val="Odstavecseseznamem"/>
        <w:numPr>
          <w:ilvl w:val="0"/>
          <w:numId w:val="36"/>
        </w:numPr>
        <w:spacing w:after="160" w:line="259" w:lineRule="auto"/>
        <w:jc w:val="left"/>
      </w:pPr>
      <w:r>
        <w:t>Bezpečnostní aplikace pro chytrá města a regiony</w:t>
      </w:r>
    </w:p>
    <w:p w14:paraId="50993FB9" w14:textId="6FCEB34D" w:rsidR="002E1B23" w:rsidRDefault="002E1B23" w:rsidP="004B6BFD">
      <w:pPr>
        <w:pStyle w:val="Odstavecseseznamem"/>
        <w:numPr>
          <w:ilvl w:val="0"/>
          <w:numId w:val="36"/>
        </w:numPr>
        <w:spacing w:after="160" w:line="259" w:lineRule="auto"/>
        <w:jc w:val="left"/>
      </w:pPr>
      <w:r>
        <w:t>Ochrana měkkých cílů</w:t>
      </w:r>
    </w:p>
    <w:p w14:paraId="1DAF1045" w14:textId="4660A4F4" w:rsidR="00CE1A76" w:rsidRDefault="00CE1A76" w:rsidP="004B6BFD">
      <w:pPr>
        <w:pStyle w:val="Odstavecseseznamem"/>
        <w:numPr>
          <w:ilvl w:val="0"/>
          <w:numId w:val="36"/>
        </w:numPr>
        <w:spacing w:after="160" w:line="259" w:lineRule="auto"/>
        <w:jc w:val="left"/>
      </w:pPr>
      <w:r>
        <w:t>Právo, etika a soukromí ve vztahu k moderním technologiím ve veřejném prostoru</w:t>
      </w:r>
    </w:p>
    <w:p w14:paraId="222E74C6" w14:textId="77777777" w:rsidR="002E1B23" w:rsidRDefault="002E1B23" w:rsidP="004B6BFD">
      <w:pPr>
        <w:pStyle w:val="Odstavecseseznamem"/>
        <w:numPr>
          <w:ilvl w:val="0"/>
          <w:numId w:val="36"/>
        </w:numPr>
        <w:spacing w:after="160" w:line="259" w:lineRule="auto"/>
        <w:jc w:val="left"/>
      </w:pPr>
      <w:r>
        <w:t>Prevence kriminality a protispolečenských jevů, zejm. ve vztahu ke zvláště ohroženým skupinám (ženy, děti, senioři), a to jak ve veřejném prostoru, tak v kyberprostoru</w:t>
      </w:r>
    </w:p>
    <w:p w14:paraId="59115FF4" w14:textId="419D1C7C" w:rsidR="00A702B3" w:rsidRPr="00611F91" w:rsidRDefault="002E1B23" w:rsidP="004B6BFD">
      <w:pPr>
        <w:pStyle w:val="Odstavecseseznamem"/>
        <w:numPr>
          <w:ilvl w:val="0"/>
          <w:numId w:val="36"/>
        </w:numPr>
        <w:spacing w:after="160" w:line="259" w:lineRule="auto"/>
        <w:jc w:val="left"/>
      </w:pPr>
      <w:r>
        <w:t>Veřejný informační prostor a prevence jeho zneužívání k subverzivním a/nebo kriminálním aktivitám</w:t>
      </w:r>
    </w:p>
    <w:p w14:paraId="71219663" w14:textId="77777777" w:rsidR="002E1B23" w:rsidRDefault="002E1B23" w:rsidP="004B6BFD">
      <w:pPr>
        <w:pStyle w:val="Odstavecseseznamem"/>
        <w:numPr>
          <w:ilvl w:val="0"/>
          <w:numId w:val="36"/>
        </w:numPr>
        <w:spacing w:after="160" w:line="259" w:lineRule="auto"/>
        <w:jc w:val="left"/>
      </w:pPr>
      <w:r>
        <w:t>Snižování negativních dopadů činnosti bezpečnostních a záchranných sborů na životní prostředí</w:t>
      </w:r>
    </w:p>
    <w:p w14:paraId="3093354C" w14:textId="02349C1E" w:rsidR="002E1B23" w:rsidRDefault="002E1B23" w:rsidP="004B6BFD">
      <w:pPr>
        <w:pStyle w:val="Odstavecseseznamem"/>
        <w:numPr>
          <w:ilvl w:val="0"/>
          <w:numId w:val="36"/>
        </w:numPr>
        <w:spacing w:after="160" w:line="259" w:lineRule="auto"/>
        <w:jc w:val="left"/>
      </w:pPr>
      <w:r>
        <w:t>Prevence rizik ekologických katastrof</w:t>
      </w:r>
    </w:p>
    <w:p w14:paraId="0E80AD7D" w14:textId="1A303E9E" w:rsidR="002E1B23" w:rsidRDefault="00533541" w:rsidP="004B6BFD">
      <w:pPr>
        <w:pStyle w:val="Odstavecseseznamem"/>
        <w:numPr>
          <w:ilvl w:val="0"/>
          <w:numId w:val="36"/>
        </w:numPr>
        <w:spacing w:after="160" w:line="259" w:lineRule="auto"/>
        <w:jc w:val="left"/>
      </w:pPr>
      <w:r>
        <w:t>Naturogenní hrozby, jejich dynamika, vyhodnocování a predikce, včetně vztahu ke klimatické změně</w:t>
      </w:r>
    </w:p>
    <w:p w14:paraId="6C875111" w14:textId="6C204B9F" w:rsidR="00961C6A" w:rsidRPr="00EA339C" w:rsidRDefault="00961C6A" w:rsidP="004B6BFD">
      <w:pPr>
        <w:pStyle w:val="Nadpis3"/>
      </w:pPr>
      <w:bookmarkStart w:id="33" w:name="_Toc83296740"/>
      <w:r>
        <w:t>Finanční alokace na podprogram 3</w:t>
      </w:r>
      <w:bookmarkEnd w:id="33"/>
    </w:p>
    <w:p w14:paraId="3D84D120" w14:textId="3469D8AD" w:rsidR="000B0456" w:rsidRPr="000B0456" w:rsidRDefault="00B73992" w:rsidP="004B6BFD">
      <w:pPr>
        <w:rPr>
          <w:b/>
        </w:rPr>
      </w:pPr>
      <w:r w:rsidRPr="004B6BFD">
        <w:rPr>
          <w:b/>
        </w:rPr>
        <w:t xml:space="preserve">Finanční alokace na podprogram 3 činí </w:t>
      </w:r>
      <w:r w:rsidR="000B0456">
        <w:rPr>
          <w:b/>
        </w:rPr>
        <w:t>40% celkových nákladů na programu.</w:t>
      </w:r>
    </w:p>
    <w:p w14:paraId="736A6A4B" w14:textId="6015B389" w:rsidR="009F13AE" w:rsidRPr="00A837D4" w:rsidRDefault="00D43E44" w:rsidP="004B6BFD">
      <w:pPr>
        <w:pStyle w:val="Nadpis1"/>
      </w:pPr>
      <w:bookmarkStart w:id="34" w:name="_Toc83296741"/>
      <w:r w:rsidRPr="00A837D4">
        <w:t>Financování programu</w:t>
      </w:r>
      <w:bookmarkEnd w:id="34"/>
    </w:p>
    <w:p w14:paraId="547CB2A2" w14:textId="39ADD17C" w:rsidR="00FA2F50" w:rsidRPr="003B4314" w:rsidRDefault="001C72C8" w:rsidP="009B202E">
      <w:pPr>
        <w:suppressLineNumbers/>
        <w:spacing w:after="120"/>
        <w:rPr>
          <w:rFonts w:eastAsia="Times New Roman"/>
        </w:rPr>
      </w:pPr>
      <w:r>
        <w:t>Celkové výdaje na P</w:t>
      </w:r>
      <w:r w:rsidR="001D402A" w:rsidRPr="003B4314">
        <w:t xml:space="preserve">rogram se po dobu trvání předpokládají ve výši cca </w:t>
      </w:r>
      <w:r w:rsidR="006E2CD1">
        <w:t xml:space="preserve">2 </w:t>
      </w:r>
      <w:r w:rsidR="008D52D4">
        <w:t>430</w:t>
      </w:r>
      <w:r w:rsidR="008D52D4" w:rsidRPr="003B4314">
        <w:t> </w:t>
      </w:r>
      <w:r w:rsidR="001D402A" w:rsidRPr="003B4314">
        <w:t>000 tis. Kč podle následujícího rozpisu:</w:t>
      </w:r>
    </w:p>
    <w:tbl>
      <w:tblPr>
        <w:tblStyle w:val="Prosttabulka51"/>
        <w:tblW w:w="8845" w:type="dxa"/>
        <w:tblLook w:val="04A0" w:firstRow="1" w:lastRow="0" w:firstColumn="1" w:lastColumn="0" w:noHBand="0" w:noVBand="1"/>
      </w:tblPr>
      <w:tblGrid>
        <w:gridCol w:w="1242"/>
        <w:gridCol w:w="896"/>
        <w:gridCol w:w="896"/>
        <w:gridCol w:w="896"/>
        <w:gridCol w:w="896"/>
        <w:gridCol w:w="896"/>
        <w:gridCol w:w="896"/>
        <w:gridCol w:w="896"/>
        <w:gridCol w:w="1331"/>
      </w:tblGrid>
      <w:tr w:rsidR="007D3CE5" w:rsidRPr="003B4314" w14:paraId="78138288" w14:textId="77777777" w:rsidTr="007D3CE5">
        <w:trPr>
          <w:cnfStyle w:val="100000000000" w:firstRow="1" w:lastRow="0" w:firstColumn="0" w:lastColumn="0" w:oddVBand="0" w:evenVBand="0" w:oddHBand="0" w:evenHBand="0" w:firstRowFirstColumn="0" w:firstRowLastColumn="0" w:lastRowFirstColumn="0" w:lastRowLastColumn="0"/>
          <w:trHeight w:val="571"/>
        </w:trPr>
        <w:tc>
          <w:tcPr>
            <w:cnfStyle w:val="001000000100" w:firstRow="0" w:lastRow="0" w:firstColumn="1" w:lastColumn="0" w:oddVBand="0" w:evenVBand="0" w:oddHBand="0" w:evenHBand="0" w:firstRowFirstColumn="1" w:firstRowLastColumn="0" w:lastRowFirstColumn="0" w:lastRowLastColumn="0"/>
            <w:tcW w:w="0" w:type="auto"/>
            <w:noWrap/>
            <w:hideMark/>
          </w:tcPr>
          <w:p w14:paraId="4EDDE690" w14:textId="77777777" w:rsidR="007D3CE5" w:rsidRPr="003B4314" w:rsidRDefault="007D3CE5" w:rsidP="009B202E">
            <w:pPr>
              <w:suppressLineNumbers/>
              <w:spacing w:after="120"/>
              <w:jc w:val="center"/>
              <w:rPr>
                <w:rFonts w:eastAsia="Times New Roman" w:cs="Calibri"/>
                <w:color w:val="668926"/>
                <w:lang w:eastAsia="cs-CZ"/>
              </w:rPr>
            </w:pPr>
          </w:p>
        </w:tc>
        <w:tc>
          <w:tcPr>
            <w:tcW w:w="0" w:type="auto"/>
            <w:noWrap/>
            <w:hideMark/>
          </w:tcPr>
          <w:p w14:paraId="6DFE3E2C" w14:textId="77777777" w:rsidR="007D3CE5" w:rsidRPr="004B6BFD" w:rsidRDefault="007D3CE5" w:rsidP="00617564">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2023</w:t>
            </w:r>
          </w:p>
        </w:tc>
        <w:tc>
          <w:tcPr>
            <w:tcW w:w="0" w:type="auto"/>
            <w:noWrap/>
            <w:hideMark/>
          </w:tcPr>
          <w:p w14:paraId="4DA4047C" w14:textId="77777777" w:rsidR="007D3CE5" w:rsidRPr="004B6BFD" w:rsidRDefault="007D3CE5" w:rsidP="00617564">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2024</w:t>
            </w:r>
          </w:p>
        </w:tc>
        <w:tc>
          <w:tcPr>
            <w:tcW w:w="0" w:type="auto"/>
            <w:noWrap/>
            <w:hideMark/>
          </w:tcPr>
          <w:p w14:paraId="284CF578" w14:textId="77777777" w:rsidR="007D3CE5" w:rsidRPr="004B6BFD" w:rsidRDefault="007D3CE5" w:rsidP="00617564">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2025</w:t>
            </w:r>
          </w:p>
        </w:tc>
        <w:tc>
          <w:tcPr>
            <w:tcW w:w="0" w:type="auto"/>
            <w:noWrap/>
            <w:hideMark/>
          </w:tcPr>
          <w:p w14:paraId="2B71D011" w14:textId="77777777" w:rsidR="007D3CE5" w:rsidRPr="004B6BFD" w:rsidRDefault="007D3CE5" w:rsidP="00617564">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2026</w:t>
            </w:r>
          </w:p>
        </w:tc>
        <w:tc>
          <w:tcPr>
            <w:tcW w:w="0" w:type="auto"/>
            <w:noWrap/>
            <w:hideMark/>
          </w:tcPr>
          <w:p w14:paraId="4847DCFD" w14:textId="77777777" w:rsidR="007D3CE5" w:rsidRPr="004B6BFD" w:rsidRDefault="007D3CE5" w:rsidP="00617564">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2027</w:t>
            </w:r>
          </w:p>
        </w:tc>
        <w:tc>
          <w:tcPr>
            <w:tcW w:w="0" w:type="auto"/>
          </w:tcPr>
          <w:p w14:paraId="4D6DD5FE" w14:textId="75FDCDCD" w:rsidR="007D3CE5" w:rsidRPr="004B6BFD" w:rsidRDefault="007D3CE5"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2028</w:t>
            </w:r>
          </w:p>
        </w:tc>
        <w:tc>
          <w:tcPr>
            <w:tcW w:w="0" w:type="auto"/>
          </w:tcPr>
          <w:p w14:paraId="43EB6613" w14:textId="5484A11C" w:rsidR="007D3CE5" w:rsidRPr="004B6BFD" w:rsidRDefault="007D3CE5"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sz w:val="20"/>
                <w:szCs w:val="20"/>
                <w:lang w:eastAsia="cs-CZ"/>
              </w:rPr>
            </w:pPr>
            <w:r w:rsidRPr="004B6BFD">
              <w:rPr>
                <w:rFonts w:eastAsia="Times New Roman" w:cs="Calibri"/>
                <w:b/>
                <w:bCs/>
                <w:color w:val="000000"/>
                <w:sz w:val="20"/>
                <w:szCs w:val="20"/>
                <w:lang w:eastAsia="cs-CZ"/>
              </w:rPr>
              <w:t>2029</w:t>
            </w:r>
          </w:p>
        </w:tc>
        <w:tc>
          <w:tcPr>
            <w:tcW w:w="0" w:type="auto"/>
            <w:noWrap/>
            <w:hideMark/>
          </w:tcPr>
          <w:p w14:paraId="07F5B453" w14:textId="7BCD438D" w:rsidR="007D3CE5" w:rsidRPr="003B4314" w:rsidRDefault="007D3CE5"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000000"/>
                <w:lang w:eastAsia="cs-CZ"/>
              </w:rPr>
            </w:pPr>
            <w:r w:rsidRPr="003B4314">
              <w:rPr>
                <w:rFonts w:eastAsia="Times New Roman" w:cs="Calibri"/>
                <w:b/>
                <w:bCs/>
                <w:color w:val="000000"/>
                <w:lang w:eastAsia="cs-CZ"/>
              </w:rPr>
              <w:t>Celkem</w:t>
            </w:r>
          </w:p>
        </w:tc>
      </w:tr>
      <w:tr w:rsidR="007D3CE5" w:rsidRPr="003B4314" w14:paraId="5D972FE1" w14:textId="77777777" w:rsidTr="007D3C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0" w:type="auto"/>
            <w:noWrap/>
            <w:hideMark/>
          </w:tcPr>
          <w:p w14:paraId="1F8385F5" w14:textId="77777777" w:rsidR="007D3CE5" w:rsidRPr="004B6BFD" w:rsidRDefault="007D3CE5" w:rsidP="00224919">
            <w:pPr>
              <w:suppressLineNumbers/>
              <w:spacing w:after="120"/>
              <w:jc w:val="center"/>
              <w:rPr>
                <w:rFonts w:eastAsia="Times New Roman" w:cs="Calibri"/>
                <w:b/>
                <w:bCs/>
                <w:iCs w:val="0"/>
                <w:color w:val="000000"/>
                <w:sz w:val="20"/>
                <w:szCs w:val="20"/>
                <w:lang w:eastAsia="cs-CZ"/>
              </w:rPr>
            </w:pPr>
            <w:r w:rsidRPr="004B6BFD">
              <w:rPr>
                <w:rFonts w:eastAsia="Times New Roman" w:cs="Calibri"/>
                <w:b/>
                <w:bCs/>
                <w:color w:val="000000"/>
                <w:sz w:val="20"/>
                <w:szCs w:val="20"/>
                <w:lang w:eastAsia="cs-CZ"/>
              </w:rPr>
              <w:t>Veřejné</w:t>
            </w:r>
          </w:p>
        </w:tc>
        <w:tc>
          <w:tcPr>
            <w:tcW w:w="0" w:type="auto"/>
            <w:noWrap/>
            <w:hideMark/>
          </w:tcPr>
          <w:p w14:paraId="65F81BB2" w14:textId="6BF926B2"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300 000</w:t>
            </w:r>
          </w:p>
        </w:tc>
        <w:tc>
          <w:tcPr>
            <w:tcW w:w="0" w:type="auto"/>
            <w:noWrap/>
            <w:hideMark/>
          </w:tcPr>
          <w:p w14:paraId="7A4B6ED3" w14:textId="0555086E"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300 000</w:t>
            </w:r>
          </w:p>
        </w:tc>
        <w:tc>
          <w:tcPr>
            <w:tcW w:w="0" w:type="auto"/>
            <w:noWrap/>
            <w:hideMark/>
          </w:tcPr>
          <w:p w14:paraId="3AE79BD3" w14:textId="693E8C09"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300 000</w:t>
            </w:r>
          </w:p>
        </w:tc>
        <w:tc>
          <w:tcPr>
            <w:tcW w:w="0" w:type="auto"/>
            <w:noWrap/>
            <w:hideMark/>
          </w:tcPr>
          <w:p w14:paraId="6251BB34" w14:textId="70B247FB"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300 000</w:t>
            </w:r>
          </w:p>
        </w:tc>
        <w:tc>
          <w:tcPr>
            <w:tcW w:w="0" w:type="auto"/>
            <w:noWrap/>
            <w:hideMark/>
          </w:tcPr>
          <w:p w14:paraId="748793A7" w14:textId="741C38FD"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300 000</w:t>
            </w:r>
          </w:p>
        </w:tc>
        <w:tc>
          <w:tcPr>
            <w:tcW w:w="0" w:type="auto"/>
          </w:tcPr>
          <w:p w14:paraId="59E2F106" w14:textId="625EA0FD"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w:t>
            </w:r>
            <w:r>
              <w:rPr>
                <w:rFonts w:eastAsia="Times New Roman" w:cs="Calibri"/>
                <w:color w:val="000000"/>
                <w:sz w:val="18"/>
                <w:szCs w:val="18"/>
                <w:lang w:eastAsia="cs-CZ"/>
              </w:rPr>
              <w:t xml:space="preserve"> </w:t>
            </w:r>
            <w:r w:rsidRPr="000B0456">
              <w:rPr>
                <w:rFonts w:eastAsia="Times New Roman" w:cs="Calibri"/>
                <w:color w:val="000000"/>
                <w:sz w:val="18"/>
                <w:szCs w:val="18"/>
                <w:lang w:eastAsia="cs-CZ"/>
              </w:rPr>
              <w:t>000</w:t>
            </w:r>
          </w:p>
        </w:tc>
        <w:tc>
          <w:tcPr>
            <w:tcW w:w="0" w:type="auto"/>
          </w:tcPr>
          <w:p w14:paraId="7D1962CE" w14:textId="3D376BF3" w:rsidR="007D3CE5" w:rsidRPr="000B0456" w:rsidRDefault="007D3CE5" w:rsidP="000B0456">
            <w:pPr>
              <w:suppressLineNumbers/>
              <w:spacing w:after="120"/>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300</w:t>
            </w:r>
            <w:r>
              <w:rPr>
                <w:rFonts w:eastAsia="Times New Roman" w:cs="Calibri"/>
                <w:color w:val="000000"/>
                <w:sz w:val="18"/>
                <w:szCs w:val="18"/>
                <w:lang w:eastAsia="cs-CZ"/>
              </w:rPr>
              <w:t xml:space="preserve"> </w:t>
            </w:r>
            <w:r w:rsidRPr="000B0456">
              <w:rPr>
                <w:rFonts w:eastAsia="Times New Roman" w:cs="Calibri"/>
                <w:color w:val="000000"/>
                <w:sz w:val="18"/>
                <w:szCs w:val="18"/>
                <w:lang w:eastAsia="cs-CZ"/>
              </w:rPr>
              <w:t>000</w:t>
            </w:r>
          </w:p>
        </w:tc>
        <w:tc>
          <w:tcPr>
            <w:tcW w:w="0" w:type="auto"/>
            <w:noWrap/>
            <w:hideMark/>
          </w:tcPr>
          <w:p w14:paraId="10385EBD" w14:textId="2F696493"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lang w:eastAsia="cs-CZ"/>
              </w:rPr>
            </w:pPr>
            <w:r>
              <w:rPr>
                <w:rFonts w:eastAsia="Times New Roman" w:cs="Calibri"/>
                <w:b/>
                <w:color w:val="000000"/>
                <w:lang w:eastAsia="cs-CZ"/>
              </w:rPr>
              <w:t>  2 100 000</w:t>
            </w:r>
          </w:p>
        </w:tc>
      </w:tr>
      <w:tr w:rsidR="007D3CE5" w:rsidRPr="003B4314" w14:paraId="757650D9" w14:textId="77777777" w:rsidTr="007D3CE5">
        <w:trPr>
          <w:trHeight w:val="5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C14C5ED" w14:textId="77777777" w:rsidR="007D3CE5" w:rsidRPr="004B6BFD" w:rsidRDefault="007D3CE5" w:rsidP="00224919">
            <w:pPr>
              <w:suppressLineNumbers/>
              <w:spacing w:after="120"/>
              <w:jc w:val="center"/>
              <w:rPr>
                <w:rFonts w:eastAsia="Times New Roman" w:cs="Calibri"/>
                <w:b/>
                <w:bCs/>
                <w:i w:val="0"/>
                <w:iCs w:val="0"/>
                <w:color w:val="000000"/>
                <w:sz w:val="20"/>
                <w:szCs w:val="20"/>
                <w:lang w:eastAsia="cs-CZ"/>
              </w:rPr>
            </w:pPr>
            <w:r w:rsidRPr="004B6BFD">
              <w:rPr>
                <w:rFonts w:eastAsia="Times New Roman" w:cs="Calibri"/>
                <w:b/>
                <w:bCs/>
                <w:color w:val="000000"/>
                <w:sz w:val="20"/>
                <w:szCs w:val="20"/>
                <w:lang w:eastAsia="cs-CZ"/>
              </w:rPr>
              <w:t>Neveřejné</w:t>
            </w:r>
          </w:p>
        </w:tc>
        <w:tc>
          <w:tcPr>
            <w:tcW w:w="0" w:type="auto"/>
            <w:noWrap/>
            <w:hideMark/>
          </w:tcPr>
          <w:p w14:paraId="6E5D1A6B" w14:textId="4B160109" w:rsidR="007D3CE5" w:rsidRPr="000B0456" w:rsidRDefault="007D3CE5" w:rsidP="00224919">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30 000</w:t>
            </w:r>
          </w:p>
        </w:tc>
        <w:tc>
          <w:tcPr>
            <w:tcW w:w="0" w:type="auto"/>
            <w:noWrap/>
            <w:hideMark/>
          </w:tcPr>
          <w:p w14:paraId="04CB7CBA" w14:textId="5219FBF7" w:rsidR="007D3CE5" w:rsidRPr="000B0456" w:rsidRDefault="007D3CE5">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noWrap/>
            <w:hideMark/>
          </w:tcPr>
          <w:p w14:paraId="0D7C96CF" w14:textId="235C42C1" w:rsidR="007D3CE5" w:rsidRPr="000B0456" w:rsidRDefault="007D3CE5">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noWrap/>
            <w:hideMark/>
          </w:tcPr>
          <w:p w14:paraId="7FB22F41" w14:textId="26328E89" w:rsidR="007D3CE5" w:rsidRPr="000B0456" w:rsidRDefault="007D3CE5">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noWrap/>
            <w:hideMark/>
          </w:tcPr>
          <w:p w14:paraId="71CBC952" w14:textId="38D20021" w:rsidR="007D3CE5" w:rsidRPr="000B0456" w:rsidRDefault="007D3CE5">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tcPr>
          <w:p w14:paraId="6715F115" w14:textId="3C7EA930" w:rsidR="007D3CE5" w:rsidRPr="000B0456" w:rsidRDefault="007D3CE5" w:rsidP="000B0456">
            <w:pPr>
              <w:suppressLineNumbers/>
              <w:spacing w:after="120"/>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tcPr>
          <w:p w14:paraId="0E218BD5" w14:textId="77E876D8" w:rsidR="007D3CE5" w:rsidRPr="000B0456" w:rsidRDefault="007D3CE5" w:rsidP="00224919">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50 000</w:t>
            </w:r>
          </w:p>
        </w:tc>
        <w:tc>
          <w:tcPr>
            <w:tcW w:w="0" w:type="auto"/>
            <w:noWrap/>
            <w:hideMark/>
          </w:tcPr>
          <w:p w14:paraId="31F7409B" w14:textId="7077CF97" w:rsidR="007D3CE5" w:rsidRPr="000B0456" w:rsidRDefault="007D3CE5" w:rsidP="00936D1A">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eastAsia="Times New Roman" w:cs="Calibri"/>
                <w:b/>
                <w:color w:val="000000"/>
                <w:lang w:eastAsia="cs-CZ"/>
              </w:rPr>
            </w:pPr>
            <w:r>
              <w:rPr>
                <w:rFonts w:eastAsia="Times New Roman" w:cs="Calibri"/>
                <w:b/>
                <w:color w:val="000000"/>
                <w:lang w:eastAsia="cs-CZ"/>
              </w:rPr>
              <w:t>  330 000</w:t>
            </w:r>
          </w:p>
        </w:tc>
      </w:tr>
      <w:tr w:rsidR="007D3CE5" w:rsidRPr="003B4314" w14:paraId="3693B268" w14:textId="77777777" w:rsidTr="007D3CE5">
        <w:trPr>
          <w:cnfStyle w:val="000000100000" w:firstRow="0" w:lastRow="0" w:firstColumn="0" w:lastColumn="0" w:oddVBand="0" w:evenVBand="0" w:oddHBand="1" w:evenHBand="0"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0" w:type="auto"/>
            <w:noWrap/>
            <w:hideMark/>
          </w:tcPr>
          <w:p w14:paraId="57088D2A" w14:textId="77777777" w:rsidR="007D3CE5" w:rsidRPr="004B6BFD" w:rsidRDefault="007D3CE5" w:rsidP="00224919">
            <w:pPr>
              <w:suppressLineNumbers/>
              <w:spacing w:after="120"/>
              <w:jc w:val="center"/>
              <w:rPr>
                <w:rFonts w:eastAsia="Times New Roman" w:cs="Calibri"/>
                <w:b/>
                <w:bCs/>
                <w:i w:val="0"/>
                <w:iCs w:val="0"/>
                <w:color w:val="000000"/>
                <w:sz w:val="20"/>
                <w:szCs w:val="20"/>
                <w:lang w:eastAsia="cs-CZ"/>
              </w:rPr>
            </w:pPr>
            <w:r w:rsidRPr="004B6BFD">
              <w:rPr>
                <w:rFonts w:eastAsia="Times New Roman" w:cs="Calibri"/>
                <w:b/>
                <w:bCs/>
                <w:color w:val="000000"/>
                <w:sz w:val="20"/>
                <w:szCs w:val="20"/>
                <w:lang w:eastAsia="cs-CZ"/>
              </w:rPr>
              <w:t>Celkem</w:t>
            </w:r>
          </w:p>
        </w:tc>
        <w:tc>
          <w:tcPr>
            <w:tcW w:w="0" w:type="auto"/>
            <w:noWrap/>
            <w:hideMark/>
          </w:tcPr>
          <w:p w14:paraId="2574872A" w14:textId="4DE58ECF"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330 000</w:t>
            </w:r>
          </w:p>
        </w:tc>
        <w:tc>
          <w:tcPr>
            <w:tcW w:w="0" w:type="auto"/>
            <w:noWrap/>
            <w:hideMark/>
          </w:tcPr>
          <w:p w14:paraId="02721B6C" w14:textId="5F57CE03"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noWrap/>
            <w:hideMark/>
          </w:tcPr>
          <w:p w14:paraId="6E92A472" w14:textId="0B215D6C"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noWrap/>
            <w:hideMark/>
          </w:tcPr>
          <w:p w14:paraId="0ABB9BB0" w14:textId="49265879"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noWrap/>
            <w:hideMark/>
          </w:tcPr>
          <w:p w14:paraId="5A505320" w14:textId="49833735"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tcPr>
          <w:p w14:paraId="44A18A3A" w14:textId="0ACF1077"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tcPr>
          <w:p w14:paraId="2D13B1FB" w14:textId="556225ED" w:rsidR="007D3CE5" w:rsidRPr="000B0456" w:rsidRDefault="007D3CE5" w:rsidP="00224919">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18"/>
                <w:szCs w:val="18"/>
                <w:lang w:eastAsia="cs-CZ"/>
              </w:rPr>
            </w:pPr>
            <w:r w:rsidRPr="000B0456">
              <w:rPr>
                <w:rFonts w:eastAsia="Times New Roman" w:cs="Calibri"/>
                <w:color w:val="000000"/>
                <w:sz w:val="18"/>
                <w:szCs w:val="18"/>
                <w:lang w:eastAsia="cs-CZ"/>
              </w:rPr>
              <w:t>350 000</w:t>
            </w:r>
          </w:p>
        </w:tc>
        <w:tc>
          <w:tcPr>
            <w:tcW w:w="0" w:type="auto"/>
            <w:noWrap/>
            <w:hideMark/>
          </w:tcPr>
          <w:p w14:paraId="5691E890" w14:textId="43FAAE2F" w:rsidR="007D3CE5" w:rsidRPr="000B0456" w:rsidRDefault="007D3CE5" w:rsidP="000B0456">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lang w:eastAsia="cs-CZ"/>
              </w:rPr>
            </w:pPr>
            <w:r>
              <w:rPr>
                <w:rFonts w:eastAsia="Times New Roman" w:cs="Calibri"/>
                <w:b/>
                <w:color w:val="000000"/>
                <w:lang w:eastAsia="cs-CZ"/>
              </w:rPr>
              <w:t>2 430 000</w:t>
            </w:r>
          </w:p>
        </w:tc>
      </w:tr>
    </w:tbl>
    <w:p w14:paraId="5B300E4E" w14:textId="54F76E02" w:rsidR="00B260DB" w:rsidRPr="00B260DB" w:rsidRDefault="0075505C" w:rsidP="0075505C">
      <w:pPr>
        <w:pStyle w:val="Titulek"/>
        <w:rPr>
          <w:sz w:val="22"/>
          <w:szCs w:val="22"/>
        </w:rPr>
      </w:pPr>
      <w:r>
        <w:t xml:space="preserve">Tabulka </w:t>
      </w:r>
      <w:fldSimple w:instr=" SEQ Tabulka \* ARABIC ">
        <w:r>
          <w:rPr>
            <w:noProof/>
          </w:rPr>
          <w:t>2</w:t>
        </w:r>
      </w:fldSimple>
      <w:r>
        <w:t>: Souhrnné finanční ukazatele programu (v tis. Kč)</w:t>
      </w:r>
    </w:p>
    <w:p w14:paraId="550C6AEF" w14:textId="66EECC50" w:rsidR="00D44FFF" w:rsidRPr="00DE6422" w:rsidRDefault="00DE6422" w:rsidP="00B260DB">
      <w:pPr>
        <w:suppressLineNumbers/>
        <w:spacing w:before="240" w:after="120"/>
        <w:rPr>
          <w:rFonts w:ascii="Calibri" w:hAnsi="Calibri" w:cs="Calibri"/>
        </w:rPr>
      </w:pPr>
      <w:r>
        <w:rPr>
          <w:rFonts w:ascii="Calibri" w:hAnsi="Calibri" w:cs="Calibri"/>
        </w:rPr>
        <w:t xml:space="preserve">Stanovení finančního rámce Programu reflektuje opatření MKBV2017+. </w:t>
      </w:r>
      <w:r w:rsidR="00B260DB">
        <w:rPr>
          <w:rFonts w:ascii="Calibri" w:hAnsi="Calibri" w:cs="Calibri"/>
        </w:rPr>
        <w:t>Nejvyšší povolená intenzita podpory pro jednotlivé typy podpořených organizací bude určena</w:t>
      </w:r>
      <w:r w:rsidR="00B260DB">
        <w:rPr>
          <w:rFonts w:eastAsia="Arial"/>
        </w:rPr>
        <w:t xml:space="preserve"> </w:t>
      </w:r>
      <w:r w:rsidR="00B260DB">
        <w:rPr>
          <w:rFonts w:ascii="Calibri" w:hAnsi="Calibri" w:cs="Calibri"/>
        </w:rPr>
        <w:t>v souladu s</w:t>
      </w:r>
      <w:r w:rsidR="00C43738">
        <w:rPr>
          <w:rFonts w:ascii="Calibri" w:hAnsi="Calibri" w:cs="Calibri"/>
        </w:rPr>
        <w:t> </w:t>
      </w:r>
      <w:r w:rsidR="00B260DB">
        <w:rPr>
          <w:rFonts w:ascii="Calibri" w:hAnsi="Calibri" w:cs="Calibri"/>
        </w:rPr>
        <w:t>Rámcem</w:t>
      </w:r>
      <w:r w:rsidR="00C43738">
        <w:rPr>
          <w:rFonts w:ascii="Calibri" w:hAnsi="Calibri" w:cs="Calibri"/>
        </w:rPr>
        <w:t xml:space="preserve"> a Nařízením</w:t>
      </w:r>
      <w:r w:rsidR="00224919">
        <w:rPr>
          <w:rFonts w:ascii="Calibri" w:hAnsi="Calibri" w:cs="Calibri"/>
        </w:rPr>
        <w:t xml:space="preserve"> </w:t>
      </w:r>
      <w:r w:rsidR="00C750C6">
        <w:rPr>
          <w:rFonts w:ascii="Calibri" w:hAnsi="Calibri" w:cs="Calibri"/>
        </w:rPr>
        <w:br/>
      </w:r>
      <w:r w:rsidR="00224919">
        <w:rPr>
          <w:rFonts w:ascii="Calibri" w:hAnsi="Calibri" w:cs="Calibri"/>
        </w:rPr>
        <w:t xml:space="preserve">a s ohledem na záměr snížit rizika pro poskytovatele u projektů s vyšším komerčním potenciálem. </w:t>
      </w:r>
      <w:r w:rsidR="00B260DB">
        <w:rPr>
          <w:rFonts w:ascii="Calibri" w:hAnsi="Calibri" w:cs="Calibri"/>
        </w:rPr>
        <w:t xml:space="preserve"> </w:t>
      </w:r>
    </w:p>
    <w:p w14:paraId="1E9B983A" w14:textId="255B630A" w:rsidR="003517B1" w:rsidRDefault="003517B1" w:rsidP="009B202E">
      <w:pPr>
        <w:suppressLineNumbers/>
        <w:spacing w:before="240" w:after="120"/>
        <w:rPr>
          <w:rFonts w:eastAsia="Arial"/>
        </w:rPr>
      </w:pPr>
      <w:r w:rsidRPr="003B4314">
        <w:rPr>
          <w:rFonts w:eastAsia="Arial"/>
        </w:rPr>
        <w:t xml:space="preserve">V případě nedostatečného finančního zajištění bezpečnostního výzkumu jako celku bude poskytovatel postupovat ve smyslu opatření k řízení rizik podle MKBV2017+ a regulovat spektrum témat vyhlašovaných ve veřejných soutěžích. </w:t>
      </w:r>
    </w:p>
    <w:p w14:paraId="522BA516" w14:textId="5C6B4E05" w:rsidR="00E614EA" w:rsidRDefault="009C28E0" w:rsidP="004B6BFD">
      <w:pPr>
        <w:pStyle w:val="Nadpis1"/>
      </w:pPr>
      <w:bookmarkStart w:id="35" w:name="_Toc83296742"/>
      <w:r>
        <w:t>Realizace programu</w:t>
      </w:r>
      <w:bookmarkEnd w:id="35"/>
    </w:p>
    <w:p w14:paraId="0067DFEF" w14:textId="77777777" w:rsidR="00017873" w:rsidRPr="00A837D4" w:rsidRDefault="00017873" w:rsidP="004B6BFD">
      <w:pPr>
        <w:pStyle w:val="Nadpis2"/>
      </w:pPr>
      <w:bookmarkStart w:id="36" w:name="_Toc83296743"/>
      <w:r w:rsidRPr="00A837D4">
        <w:t>Očekávané výsledky programu</w:t>
      </w:r>
      <w:bookmarkEnd w:id="36"/>
    </w:p>
    <w:p w14:paraId="2C067E76" w14:textId="77777777" w:rsidR="00017873" w:rsidRPr="005F7A3E" w:rsidRDefault="00017873" w:rsidP="00017873">
      <w:pPr>
        <w:suppressLineNumbers/>
        <w:spacing w:after="120"/>
      </w:pPr>
      <w:r w:rsidRPr="005F7A3E">
        <w:t xml:space="preserve">V tomto Programu mohou být podporovány pouze projekty, které odůvodněně předpokládají dosažení alespoň jednoho nového výsledku výzkumu nebo experimentálního vývoje z následujících druhů </w:t>
      </w:r>
      <w:r w:rsidRPr="005F7A3E">
        <w:lastRenderedPageBreak/>
        <w:t xml:space="preserve">výsledků, které odpovídají definicím výsledků podle platných předpisů v působnosti Rady vlády pro výzkum, vývoj a inovace a Rejstříku informací o výsledcích platné v době jejich uplatňování. </w:t>
      </w:r>
    </w:p>
    <w:p w14:paraId="102E35E9" w14:textId="11C28AF0" w:rsidR="00017873" w:rsidRPr="003B4314" w:rsidRDefault="00017873" w:rsidP="00017873">
      <w:pPr>
        <w:suppressLineNumbers/>
        <w:spacing w:after="120"/>
      </w:pPr>
      <w:r w:rsidRPr="005F7A3E">
        <w:t>Za</w:t>
      </w:r>
      <w:r w:rsidRPr="003B4314">
        <w:t xml:space="preserve"> přípus</w:t>
      </w:r>
      <w:r w:rsidR="001C72C8">
        <w:t>tné hlavní výsledky se v tomto P</w:t>
      </w:r>
      <w:r w:rsidRPr="003B4314">
        <w:t>rogramu považují:</w:t>
      </w:r>
    </w:p>
    <w:p w14:paraId="57D6E09E"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P – patent;</w:t>
      </w:r>
    </w:p>
    <w:p w14:paraId="6973F758"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G – prototyp a funkční vzorek;</w:t>
      </w:r>
    </w:p>
    <w:p w14:paraId="20E4E507"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F – průmyslový a užitný vzor;</w:t>
      </w:r>
    </w:p>
    <w:p w14:paraId="08331344"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R – software;</w:t>
      </w:r>
    </w:p>
    <w:p w14:paraId="2A76C363"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Z – poloprovoz, ověřená technologie;</w:t>
      </w:r>
    </w:p>
    <w:p w14:paraId="293282D6" w14:textId="77777777"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N – metodika (všechny podtypy);</w:t>
      </w:r>
    </w:p>
    <w:p w14:paraId="11D2055D" w14:textId="1268DE5B" w:rsidR="00017873" w:rsidRPr="00571FF3" w:rsidRDefault="00017873" w:rsidP="00017873">
      <w:pPr>
        <w:pStyle w:val="Odstavecseseznamem"/>
        <w:numPr>
          <w:ilvl w:val="0"/>
          <w:numId w:val="4"/>
        </w:numPr>
        <w:suppressLineNumbers/>
        <w:spacing w:after="120"/>
        <w:rPr>
          <w:rFonts w:cstheme="minorHAnsi"/>
        </w:rPr>
      </w:pPr>
      <w:r w:rsidRPr="00571FF3">
        <w:rPr>
          <w:rFonts w:cstheme="minorHAnsi"/>
        </w:rPr>
        <w:t>V – výzkumná zpráva</w:t>
      </w:r>
      <w:r w:rsidR="0032080B">
        <w:rPr>
          <w:rFonts w:cstheme="minorHAnsi"/>
        </w:rPr>
        <w:t xml:space="preserve"> obsahující utajované informace</w:t>
      </w:r>
      <w:r w:rsidRPr="00571FF3">
        <w:rPr>
          <w:rFonts w:cstheme="minorHAnsi"/>
        </w:rPr>
        <w:t>;</w:t>
      </w:r>
    </w:p>
    <w:p w14:paraId="41248E69" w14:textId="77777777" w:rsidR="00017873" w:rsidRPr="004A67C3" w:rsidRDefault="00017873" w:rsidP="00017873">
      <w:pPr>
        <w:pStyle w:val="Odstavecseseznamem"/>
        <w:numPr>
          <w:ilvl w:val="0"/>
          <w:numId w:val="4"/>
        </w:numPr>
        <w:suppressLineNumbers/>
        <w:spacing w:after="120"/>
        <w:rPr>
          <w:rFonts w:cstheme="minorHAnsi"/>
        </w:rPr>
      </w:pPr>
      <w:r w:rsidRPr="00571FF3">
        <w:rPr>
          <w:rFonts w:cs="Arial"/>
          <w:color w:val="000000"/>
        </w:rPr>
        <w:t>S – specializovaná veřejná databáze</w:t>
      </w:r>
      <w:r>
        <w:rPr>
          <w:rFonts w:cs="Arial"/>
          <w:color w:val="000000"/>
        </w:rPr>
        <w:t>;</w:t>
      </w:r>
    </w:p>
    <w:p w14:paraId="314307AE" w14:textId="19A2BDE3" w:rsidR="006E2CD1" w:rsidRPr="00815943" w:rsidRDefault="00017873" w:rsidP="00017873">
      <w:pPr>
        <w:pStyle w:val="Odstavecseseznamem"/>
        <w:numPr>
          <w:ilvl w:val="0"/>
          <w:numId w:val="4"/>
        </w:numPr>
        <w:suppressLineNumbers/>
        <w:spacing w:after="120"/>
        <w:rPr>
          <w:rFonts w:cstheme="minorHAnsi"/>
        </w:rPr>
      </w:pPr>
      <w:r w:rsidRPr="00815943">
        <w:rPr>
          <w:rFonts w:cstheme="minorHAnsi"/>
        </w:rPr>
        <w:t>Výsledky H</w:t>
      </w:r>
      <w:r w:rsidRPr="00815943">
        <w:rPr>
          <w:rFonts w:cstheme="minorHAnsi"/>
          <w:vertAlign w:val="subscript"/>
        </w:rPr>
        <w:t>konc</w:t>
      </w:r>
      <w:r w:rsidRPr="00815943">
        <w:rPr>
          <w:rFonts w:cstheme="minorHAnsi"/>
        </w:rPr>
        <w:t xml:space="preserve"> </w:t>
      </w:r>
    </w:p>
    <w:p w14:paraId="7AE9D147" w14:textId="3A19AA5F" w:rsidR="006E2CD1" w:rsidRPr="00815943" w:rsidRDefault="006E2CD1" w:rsidP="006E2CD1">
      <w:pPr>
        <w:numPr>
          <w:ilvl w:val="0"/>
          <w:numId w:val="4"/>
        </w:numPr>
        <w:spacing w:before="120" w:after="0" w:line="276" w:lineRule="auto"/>
        <w:rPr>
          <w:rFonts w:cstheme="minorHAnsi"/>
        </w:rPr>
      </w:pPr>
      <w:r w:rsidRPr="00815943">
        <w:rPr>
          <w:rFonts w:cstheme="minorHAnsi"/>
        </w:rPr>
        <w:t>O – ostatní výsledk</w:t>
      </w:r>
      <w:r w:rsidR="001C72C8">
        <w:rPr>
          <w:rFonts w:cstheme="minorHAnsi"/>
        </w:rPr>
        <w:t>y, přičemž se pro účely tohoto P</w:t>
      </w:r>
      <w:r w:rsidRPr="00815943">
        <w:rPr>
          <w:rFonts w:cstheme="minorHAnsi"/>
        </w:rPr>
        <w:t xml:space="preserve">rogramu stanoví následující definice akceptovatelných hlavních výsledků: </w:t>
      </w:r>
    </w:p>
    <w:p w14:paraId="0644A826" w14:textId="38B07C38" w:rsidR="006E2CD1" w:rsidRPr="00815943" w:rsidRDefault="006E2CD1" w:rsidP="00815943">
      <w:pPr>
        <w:pStyle w:val="Odstavecseseznamem"/>
        <w:numPr>
          <w:ilvl w:val="1"/>
          <w:numId w:val="4"/>
        </w:numPr>
        <w:spacing w:after="0" w:line="276" w:lineRule="auto"/>
        <w:rPr>
          <w:rFonts w:cstheme="minorHAnsi"/>
        </w:rPr>
      </w:pPr>
      <w:bookmarkStart w:id="37" w:name="_Hlk505506608"/>
      <w:r w:rsidRPr="00815943">
        <w:rPr>
          <w:rFonts w:cstheme="minorHAnsi"/>
        </w:rPr>
        <w:t xml:space="preserve">Výsledky typu S, u nichž nelze, na základě posouzení konečným uživatelem, umožnit veřejný přístup, aniž by byl kompromitován jejich účel v bezpečnostní praxi nebo v dalším výzkumu pro bezpečnostní aplikace a které zároveň nesplňují předpoklady ochrany informací podle zvláštního právního předpisu. Nedílnou součástí výsledku je protokol o převzetí se záznamem o stanovisku konečného uživatele, vč. zdůvodnění omezení veřejného přístupu; </w:t>
      </w:r>
      <w:bookmarkEnd w:id="37"/>
    </w:p>
    <w:p w14:paraId="12F35C80" w14:textId="3B764717" w:rsidR="006E2CD1" w:rsidRPr="00815943" w:rsidRDefault="006E2CD1" w:rsidP="006E2CD1">
      <w:pPr>
        <w:pStyle w:val="Odstavecseseznamem"/>
        <w:numPr>
          <w:ilvl w:val="1"/>
          <w:numId w:val="4"/>
        </w:numPr>
        <w:spacing w:after="0" w:line="276" w:lineRule="auto"/>
        <w:rPr>
          <w:rFonts w:cstheme="minorHAnsi"/>
        </w:rPr>
      </w:pPr>
      <w:r w:rsidRPr="00815943">
        <w:rPr>
          <w:rStyle w:val="Siln"/>
          <w:rFonts w:cstheme="minorHAnsi"/>
          <w:b w:val="0"/>
          <w:bCs w:val="0"/>
        </w:rPr>
        <w:t>„doporučení pro veřejnou správu“</w:t>
      </w:r>
      <w:r w:rsidRPr="00815943">
        <w:rPr>
          <w:rStyle w:val="Siln"/>
          <w:rFonts w:cstheme="minorHAnsi"/>
        </w:rPr>
        <w:t xml:space="preserve"> - </w:t>
      </w:r>
      <w:r w:rsidRPr="00815943">
        <w:rPr>
          <w:rFonts w:cstheme="minorHAnsi"/>
        </w:rPr>
        <w:t xml:space="preserve">Doporučení pro veřejnou správu realizuje původní výsledky výzkumu a vývoje, které byly uskutečněny autorem nebo týmem, jehož byl autor členem. Doporučení představuje ucelené, teoreticky a empiricky obhajitelné </w:t>
      </w:r>
      <w:r w:rsidR="00815943">
        <w:rPr>
          <w:rFonts w:cstheme="minorHAnsi"/>
        </w:rPr>
        <w:br/>
      </w:r>
      <w:r w:rsidRPr="00815943">
        <w:rPr>
          <w:rFonts w:cstheme="minorHAnsi"/>
        </w:rPr>
        <w:t xml:space="preserve">a metodicky přesné návrhy vždy alespoň 3 odlišných variant řešení konkrétně vymezených problémů veřejných politik a metodologicky udržitelné vyhodnocení vhodnosti těchto variant při zavedení do praxe, včetně explicitního zdůvodnění výběru/doporučení jedné z nich. Nedílnou součástí dokumentu je nezávislý recenzní posudek a protokol o převzetí konečným uživatelem; </w:t>
      </w:r>
    </w:p>
    <w:p w14:paraId="751843BE" w14:textId="77777777" w:rsidR="00815943" w:rsidRDefault="00815943" w:rsidP="00017873">
      <w:pPr>
        <w:suppressLineNumbers/>
        <w:spacing w:after="120"/>
        <w:rPr>
          <w:rFonts w:cstheme="minorHAnsi"/>
        </w:rPr>
      </w:pPr>
    </w:p>
    <w:p w14:paraId="2D700162" w14:textId="348CB346" w:rsidR="00017873" w:rsidRPr="00815943" w:rsidRDefault="00017873" w:rsidP="00017873">
      <w:pPr>
        <w:suppressLineNumbers/>
        <w:spacing w:after="120"/>
        <w:rPr>
          <w:rFonts w:cstheme="minorHAnsi"/>
        </w:rPr>
      </w:pPr>
      <w:r w:rsidRPr="00815943">
        <w:rPr>
          <w:rFonts w:cstheme="minorHAnsi"/>
        </w:rPr>
        <w:t>Za přípustn</w:t>
      </w:r>
      <w:r w:rsidR="001C72C8">
        <w:rPr>
          <w:rFonts w:cstheme="minorHAnsi"/>
        </w:rPr>
        <w:t>é vedlejší výsledky se v tomto P</w:t>
      </w:r>
      <w:r w:rsidRPr="00815943">
        <w:rPr>
          <w:rFonts w:cstheme="minorHAnsi"/>
        </w:rPr>
        <w:t>rogramu považují:</w:t>
      </w:r>
    </w:p>
    <w:p w14:paraId="3CF1C8C5" w14:textId="77777777"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rPr>
        <w:t>všechny typy hlavních výsledků;</w:t>
      </w:r>
    </w:p>
    <w:p w14:paraId="22B001F0" w14:textId="77777777"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rPr>
        <w:t>V</w:t>
      </w:r>
      <w:r w:rsidRPr="00815943">
        <w:rPr>
          <w:rFonts w:cstheme="minorHAnsi"/>
          <w:vertAlign w:val="subscript"/>
        </w:rPr>
        <w:t>souhrn</w:t>
      </w:r>
      <w:r w:rsidRPr="00815943">
        <w:rPr>
          <w:rFonts w:cstheme="minorHAnsi"/>
        </w:rPr>
        <w:t xml:space="preserve"> – souhrnná výzkumná zpráva;</w:t>
      </w:r>
    </w:p>
    <w:p w14:paraId="55471BE5" w14:textId="77777777"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color w:val="000000"/>
        </w:rPr>
        <w:t>J – recenzovaný odborný článek;</w:t>
      </w:r>
    </w:p>
    <w:p w14:paraId="2405F384" w14:textId="77777777"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color w:val="000000"/>
        </w:rPr>
        <w:t>B – odborná kniha;</w:t>
      </w:r>
    </w:p>
    <w:p w14:paraId="135BC1D5" w14:textId="77777777"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color w:val="000000"/>
        </w:rPr>
        <w:t>C – kapitola v odborné knize;</w:t>
      </w:r>
    </w:p>
    <w:p w14:paraId="4227C8AB" w14:textId="0153C56E" w:rsidR="00017873" w:rsidRPr="00815943" w:rsidRDefault="00017873" w:rsidP="00017873">
      <w:pPr>
        <w:pStyle w:val="Odstavecseseznamem"/>
        <w:numPr>
          <w:ilvl w:val="0"/>
          <w:numId w:val="4"/>
        </w:numPr>
        <w:suppressLineNumbers/>
        <w:spacing w:after="120"/>
        <w:rPr>
          <w:rFonts w:cstheme="minorHAnsi"/>
        </w:rPr>
      </w:pPr>
      <w:r w:rsidRPr="00815943">
        <w:rPr>
          <w:rFonts w:cstheme="minorHAnsi"/>
          <w:color w:val="000000"/>
        </w:rPr>
        <w:t>D - stať ve sborníku.</w:t>
      </w:r>
    </w:p>
    <w:p w14:paraId="05C9C0AA" w14:textId="77777777" w:rsidR="00225B27" w:rsidRPr="00571FF3" w:rsidRDefault="00225B27" w:rsidP="00C750C6">
      <w:pPr>
        <w:pStyle w:val="Odstavecseseznamem"/>
        <w:suppressLineNumbers/>
        <w:spacing w:after="120"/>
      </w:pPr>
    </w:p>
    <w:p w14:paraId="6F6929C9" w14:textId="6D7591E5" w:rsidR="00E614EA" w:rsidRPr="00A837D4" w:rsidRDefault="00E614EA" w:rsidP="004B6BFD">
      <w:pPr>
        <w:pStyle w:val="Nadpis2"/>
        <w:spacing w:after="0"/>
      </w:pPr>
      <w:bookmarkStart w:id="38" w:name="_Toc83296744"/>
      <w:r w:rsidRPr="00A837D4">
        <w:t>U</w:t>
      </w:r>
      <w:r w:rsidR="00D428AA" w:rsidRPr="00A837D4">
        <w:t>chazeči a prokázání jejich způsobilosti</w:t>
      </w:r>
      <w:bookmarkEnd w:id="38"/>
    </w:p>
    <w:p w14:paraId="3074FA55" w14:textId="2A74DAE2" w:rsidR="0069135E" w:rsidRPr="003B4314" w:rsidRDefault="0069135E" w:rsidP="009B202E">
      <w:pPr>
        <w:suppressLineNumbers/>
        <w:spacing w:after="120"/>
      </w:pPr>
      <w:r w:rsidRPr="003B4314">
        <w:t xml:space="preserve">Uchazečem, respektive příjemcem podpory na projekt podle </w:t>
      </w:r>
      <w:r w:rsidR="00E060D4">
        <w:t>Zákona, Rámce</w:t>
      </w:r>
      <w:r w:rsidRPr="003B4314">
        <w:t xml:space="preserve"> a Nařízení mohou být:</w:t>
      </w:r>
    </w:p>
    <w:p w14:paraId="12B46187" w14:textId="51B3F987" w:rsidR="0069135E" w:rsidRPr="003B4314" w:rsidRDefault="0069135E" w:rsidP="00F4225B">
      <w:pPr>
        <w:pStyle w:val="Odstavecseseznamem"/>
        <w:numPr>
          <w:ilvl w:val="0"/>
          <w:numId w:val="5"/>
        </w:numPr>
        <w:suppressLineNumbers/>
        <w:spacing w:after="120"/>
      </w:pPr>
      <w:r w:rsidRPr="003B4314">
        <w:rPr>
          <w:u w:val="single"/>
        </w:rPr>
        <w:t>Organizace pro výzkum a šíření znalostí (VO)</w:t>
      </w:r>
      <w:r w:rsidRPr="003B4314">
        <w:t xml:space="preserve"> – právnické osoby, které splňují definici výzkumné organizace podle čl</w:t>
      </w:r>
      <w:r w:rsidR="00E060D4">
        <w:t>. 2 odst. 83 Nařízení a dle Zákona</w:t>
      </w:r>
      <w:r w:rsidRPr="003B4314">
        <w:t xml:space="preserve">, a které řeší projekt ve spolupráci s dalšími účastníky. </w:t>
      </w:r>
    </w:p>
    <w:p w14:paraId="2D0E38EF" w14:textId="77777777" w:rsidR="0069135E" w:rsidRPr="003B4314" w:rsidRDefault="0069135E" w:rsidP="00F4225B">
      <w:pPr>
        <w:pStyle w:val="Odstavecseseznamem"/>
        <w:numPr>
          <w:ilvl w:val="0"/>
          <w:numId w:val="5"/>
        </w:numPr>
        <w:suppressLineNumbers/>
        <w:spacing w:after="120"/>
      </w:pPr>
      <w:r w:rsidRPr="003B4314">
        <w:rPr>
          <w:u w:val="single"/>
        </w:rPr>
        <w:t>Podniky</w:t>
      </w:r>
      <w:r w:rsidRPr="003B4314">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14:paraId="5CA39A19" w14:textId="77777777" w:rsidR="00815943" w:rsidRDefault="0069135E" w:rsidP="009B202E">
      <w:pPr>
        <w:suppressLineNumbers/>
        <w:spacing w:after="120"/>
      </w:pPr>
      <w:r w:rsidRPr="003B4314">
        <w:lastRenderedPageBreak/>
        <w:t xml:space="preserve">Podporu na projekt realizovaný v Programu mohou získat pouze ti uchazeči, kteří splňují podmínky způsobilosti dané § 18 Zákona č. 130/2002 Sb. Uchází-li se o řešení jednoho projektu společně více uchazečů, vztahuje se povinnost prokázat svoji způsobilost na všechny tyto uchazeče. </w:t>
      </w:r>
    </w:p>
    <w:p w14:paraId="15AAE7D8" w14:textId="1615C7ED" w:rsidR="0069135E" w:rsidRPr="003B4314" w:rsidRDefault="0069135E" w:rsidP="009B202E">
      <w:pPr>
        <w:suppressLineNumbers/>
        <w:spacing w:after="120"/>
      </w:pPr>
      <w:r w:rsidRPr="003B4314">
        <w:t>Způsobilost</w:t>
      </w:r>
      <w:r w:rsidR="00E060D4">
        <w:t xml:space="preserve"> prokazuje uchazeč doklady dle Zákona </w:t>
      </w:r>
      <w:r w:rsidRPr="003B4314">
        <w:t>způsobem stano</w:t>
      </w:r>
      <w:r w:rsidR="00815943">
        <w:t xml:space="preserve">veným poskytovatelem v zadávací </w:t>
      </w:r>
      <w:r w:rsidRPr="003B4314">
        <w:t>dokumentaci.</w:t>
      </w:r>
    </w:p>
    <w:p w14:paraId="588CF3BA" w14:textId="7ABD8CCD" w:rsidR="009F13AE" w:rsidRPr="00A837D4" w:rsidRDefault="009F13AE" w:rsidP="004B6BFD">
      <w:pPr>
        <w:pStyle w:val="Nadpis2"/>
      </w:pPr>
      <w:bookmarkStart w:id="39" w:name="_Toc83296745"/>
      <w:r w:rsidRPr="00A837D4">
        <w:t>I</w:t>
      </w:r>
      <w:r w:rsidR="00D428AA" w:rsidRPr="00A837D4">
        <w:t xml:space="preserve">ntenzita podpory </w:t>
      </w:r>
      <w:r w:rsidR="009C28E0" w:rsidRPr="00A837D4">
        <w:t>a typologie podpořených projektů</w:t>
      </w:r>
      <w:bookmarkEnd w:id="39"/>
    </w:p>
    <w:p w14:paraId="046F7A62" w14:textId="2AD821AE" w:rsidR="008F5283" w:rsidRPr="00AA619C" w:rsidRDefault="008F5283" w:rsidP="008F5283">
      <w:pPr>
        <w:suppressLineNumbers/>
        <w:spacing w:after="120"/>
      </w:pPr>
      <w:r w:rsidRPr="003B4314">
        <w:rPr>
          <w:rFonts w:eastAsia="Arial"/>
        </w:rPr>
        <w:t>Maximální</w:t>
      </w:r>
      <w:r w:rsidR="006F610F">
        <w:rPr>
          <w:rFonts w:eastAsia="Arial"/>
        </w:rPr>
        <w:t xml:space="preserve"> možná</w:t>
      </w:r>
      <w:r w:rsidRPr="003B4314">
        <w:rPr>
          <w:rFonts w:eastAsia="Arial"/>
        </w:rPr>
        <w:t xml:space="preserve"> intenzita podpory projektu je stanovena na </w:t>
      </w:r>
      <w:r>
        <w:rPr>
          <w:rFonts w:eastAsia="Arial"/>
        </w:rPr>
        <w:t>10</w:t>
      </w:r>
      <w:r w:rsidRPr="003B4314">
        <w:rPr>
          <w:rFonts w:eastAsia="Arial"/>
        </w:rPr>
        <w:t xml:space="preserve">0 % uznatelných nákladů. </w:t>
      </w:r>
      <w:r w:rsidR="00815943">
        <w:t>Příjemcům – podnikům,</w:t>
      </w:r>
      <w:r w:rsidRPr="003B4314">
        <w:t xml:space="preserve"> bude poskytována p</w:t>
      </w:r>
      <w:r w:rsidR="00815943">
        <w:t xml:space="preserve">odpora dle Nařízení a příjemcům – výzkumným organizacím, </w:t>
      </w:r>
      <w:r w:rsidRPr="003B4314">
        <w:t>bude podpora poskytována dle Rámce.</w:t>
      </w:r>
    </w:p>
    <w:p w14:paraId="7333AC67" w14:textId="6D88D665" w:rsidR="008F5283" w:rsidRDefault="006F610F" w:rsidP="004B6BFD">
      <w:r>
        <w:rPr>
          <w:b/>
        </w:rPr>
        <w:t xml:space="preserve">Program podporuje 3 charakteristické typy projektů, v zásadě odpovídající členění na aplikovaný výzkum a experimentální vývoj. Pro každý z uvedených typů se stanoví další limity podpory samostatně, za účelem alespoň částečného sdílení rizika mezi uchazečem a poskytovatelem. </w:t>
      </w:r>
    </w:p>
    <w:p w14:paraId="0477087D" w14:textId="0B62C61C" w:rsidR="0008692B" w:rsidRPr="003B4314" w:rsidRDefault="001C72C8" w:rsidP="0008692B">
      <w:pPr>
        <w:suppressLineNumbers/>
        <w:spacing w:after="120"/>
      </w:pPr>
      <w:r>
        <w:t>V rámci tohoto P</w:t>
      </w:r>
      <w:r w:rsidR="0008692B" w:rsidRPr="003B4314">
        <w:t>rogramu je vyloučeno vyplacení jednotlivé podpory ve prospěch podniku:</w:t>
      </w:r>
    </w:p>
    <w:p w14:paraId="658D5FBA" w14:textId="674DB98F" w:rsidR="0008692B" w:rsidRPr="004B6BFD" w:rsidRDefault="0008692B" w:rsidP="004B6BFD">
      <w:pPr>
        <w:pStyle w:val="Odstavecseseznamem"/>
        <w:numPr>
          <w:ilvl w:val="0"/>
          <w:numId w:val="29"/>
        </w:numPr>
        <w:rPr>
          <w:rFonts w:eastAsiaTheme="majorEastAsia"/>
        </w:rPr>
      </w:pPr>
      <w:r w:rsidRPr="004B6BFD">
        <w:rPr>
          <w:rFonts w:eastAsiaTheme="majorEastAsia"/>
        </w:rPr>
        <w:t>vůči němuž byl v návaznosti na rozhodnutí Evropské komis</w:t>
      </w:r>
      <w:r w:rsidR="00815943">
        <w:rPr>
          <w:rFonts w:eastAsiaTheme="majorEastAsia"/>
        </w:rPr>
        <w:t xml:space="preserve">e, na základě kterého/jímž byla </w:t>
      </w:r>
      <w:r w:rsidRPr="004B6BFD">
        <w:rPr>
          <w:rFonts w:eastAsiaTheme="majorEastAsia"/>
        </w:rPr>
        <w:t>podpora obdržená od poskytovatele z České repub</w:t>
      </w:r>
      <w:r w:rsidR="00815943">
        <w:rPr>
          <w:rFonts w:eastAsiaTheme="majorEastAsia"/>
        </w:rPr>
        <w:t xml:space="preserve">liky prohlášena za protiprávní </w:t>
      </w:r>
      <w:r w:rsidR="00815943">
        <w:rPr>
          <w:rFonts w:eastAsiaTheme="majorEastAsia"/>
        </w:rPr>
        <w:br/>
      </w:r>
      <w:r w:rsidRPr="004B6BFD">
        <w:rPr>
          <w:rFonts w:eastAsiaTheme="majorEastAsia"/>
        </w:rPr>
        <w:t xml:space="preserve">a neslučitelnou s vnitřním trhem, vystaven inkasní příkaz, který je nesplacený, </w:t>
      </w:r>
    </w:p>
    <w:p w14:paraId="7B9E44DF" w14:textId="77777777" w:rsidR="0008692B" w:rsidRPr="004B6BFD" w:rsidRDefault="0008692B" w:rsidP="004B6BFD">
      <w:pPr>
        <w:pStyle w:val="Odstavecseseznamem"/>
        <w:numPr>
          <w:ilvl w:val="0"/>
          <w:numId w:val="29"/>
        </w:numPr>
        <w:rPr>
          <w:rFonts w:eastAsiaTheme="majorEastAsia"/>
        </w:rPr>
      </w:pPr>
      <w:r w:rsidRPr="004B6BFD">
        <w:rPr>
          <w:rFonts w:eastAsiaTheme="majorEastAsia"/>
        </w:rPr>
        <w:t>splňujícímu definici podniku v obtížích uvedenou v čl. 2, odst. 18) Nařízení.</w:t>
      </w:r>
    </w:p>
    <w:p w14:paraId="76FDB38C" w14:textId="58860C45" w:rsidR="009F13AE" w:rsidRPr="003B4314" w:rsidRDefault="009F13AE" w:rsidP="004B6BFD">
      <w:pPr>
        <w:pStyle w:val="Nadpis2"/>
      </w:pPr>
      <w:bookmarkStart w:id="40" w:name="_Toc83296746"/>
      <w:r w:rsidRPr="003B4314">
        <w:t>Z</w:t>
      </w:r>
      <w:r w:rsidR="00D428AA" w:rsidRPr="003B4314">
        <w:t>působilé a uznané náklady programu</w:t>
      </w:r>
      <w:bookmarkEnd w:id="40"/>
    </w:p>
    <w:p w14:paraId="7DDE08E0" w14:textId="2C4547D0" w:rsidR="00D43E44" w:rsidRPr="003B4314" w:rsidRDefault="00D43E44" w:rsidP="009B202E">
      <w:pPr>
        <w:suppressLineNumbers/>
        <w:spacing w:after="120"/>
      </w:pPr>
      <w:r w:rsidRPr="003B4314">
        <w:t>Podpora bude poskytována na uzna</w:t>
      </w:r>
      <w:r w:rsidR="009F3004">
        <w:t>telné</w:t>
      </w:r>
      <w:r w:rsidRPr="003B4314">
        <w:t xml:space="preserve"> náklady p</w:t>
      </w:r>
      <w:r w:rsidR="00815943">
        <w:t xml:space="preserve">rojektu vymezené v souladu </w:t>
      </w:r>
      <w:r w:rsidR="00E060D4">
        <w:t>se Z</w:t>
      </w:r>
      <w:r w:rsidRPr="003B4314">
        <w:t>ákonem a Rámcem. Veškeré uznané</w:t>
      </w:r>
      <w:r w:rsidR="009F3004">
        <w:t xml:space="preserve"> uznatelné</w:t>
      </w:r>
      <w:r w:rsidRPr="003B4314">
        <w:t xml:space="preserve"> náklady projektu musí být vynaloženy na činnosti přímo související s realizací</w:t>
      </w:r>
      <w:r w:rsidR="00B84FAF">
        <w:t xml:space="preserve"> projektu a musí být přiřazeny </w:t>
      </w:r>
      <w:r w:rsidRPr="003B4314">
        <w:t xml:space="preserve">na konkrétní kategorie výzkumu a vývoje, tj. na aplikovaný výzkum nebo na experimentální vývoj. </w:t>
      </w:r>
      <w:r w:rsidR="009F3004">
        <w:t>Uznatelnými</w:t>
      </w:r>
      <w:r w:rsidRPr="003B4314">
        <w:t xml:space="preserve"> náklady projektu v tomto Programu jsou:</w:t>
      </w:r>
    </w:p>
    <w:p w14:paraId="4A0785DE"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 xml:space="preserve">osobní náklady nebo výdaje (výzkumných pracovníků, technických pracovníků </w:t>
      </w:r>
      <w:r w:rsidRPr="003B4314">
        <w:rPr>
          <w:rFonts w:cstheme="minorHAnsi"/>
        </w:rPr>
        <w:br/>
        <w:t>a ostatního podpůrného personálu) v rozsahu nezbytném pro účely řešení projektu;</w:t>
      </w:r>
    </w:p>
    <w:p w14:paraId="1DA75F4E" w14:textId="6363902D" w:rsidR="00D43E44" w:rsidRPr="00B00BC4" w:rsidRDefault="00D43E44" w:rsidP="00F4225B">
      <w:pPr>
        <w:numPr>
          <w:ilvl w:val="7"/>
          <w:numId w:val="2"/>
        </w:numPr>
        <w:suppressLineNumbers/>
        <w:tabs>
          <w:tab w:val="clear" w:pos="6525"/>
          <w:tab w:val="num" w:pos="1260"/>
        </w:tabs>
        <w:spacing w:before="120" w:after="120"/>
        <w:ind w:left="1260" w:hanging="540"/>
        <w:rPr>
          <w:rFonts w:cstheme="minorHAnsi"/>
          <w:color w:val="FF0000"/>
        </w:rPr>
      </w:pPr>
      <w:r w:rsidRPr="003B4314">
        <w:rPr>
          <w:rFonts w:cstheme="minorHAnsi"/>
        </w:rPr>
        <w:t xml:space="preserve">náklady nebo výdaje na pořízení hmotného majetku v rozsahu a na období, </w:t>
      </w:r>
      <w:r w:rsidRPr="003B4314">
        <w:rPr>
          <w:rFonts w:cstheme="minorHAnsi"/>
        </w:rPr>
        <w:br/>
        <w:t>kdy je využíván pro výzkumný projekt; pokud není hmotný majetek využíván pro projekt po celou dobu jeho životnosti, jsou za uznané náklady považovány pouze náklady na odpisy odpovídající délce trvání projektu vypočtené pomocí zavedených účetních postupů;</w:t>
      </w:r>
      <w:r w:rsidR="00B00BC4">
        <w:rPr>
          <w:rFonts w:cstheme="minorHAnsi"/>
        </w:rPr>
        <w:t xml:space="preserve"> </w:t>
      </w:r>
    </w:p>
    <w:p w14:paraId="38FFFC04"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náklady nebo výdaje na pořízení nehmotného majetku nezbytného pro řešení projektu (technické poznatky, patenty, software);</w:t>
      </w:r>
    </w:p>
    <w:p w14:paraId="4F7406A2"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další provozní náklady nebo výdaje vzniklé v přímé souvislosti s řešením projektu (např. materiál, drobný hmotný majetek);</w:t>
      </w:r>
    </w:p>
    <w:p w14:paraId="312F653F"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náklady nebo výdaje na služby vzniklé v přímé souvislosti s řešením projektu (např. sběr dat);</w:t>
      </w:r>
    </w:p>
    <w:p w14:paraId="024BE70D"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doplňkové náklady nebo výdaje vzniklé v přímé souvislosti s řešením projektu (např. režijní náklady, administrativní náklady);</w:t>
      </w:r>
    </w:p>
    <w:p w14:paraId="34EB83F0" w14:textId="77777777" w:rsidR="00D43E44" w:rsidRPr="003B4314" w:rsidRDefault="00D43E44" w:rsidP="00F4225B">
      <w:pPr>
        <w:numPr>
          <w:ilvl w:val="7"/>
          <w:numId w:val="2"/>
        </w:numPr>
        <w:suppressLineNumbers/>
        <w:tabs>
          <w:tab w:val="clear" w:pos="6525"/>
          <w:tab w:val="num" w:pos="1260"/>
        </w:tabs>
        <w:spacing w:before="120" w:after="120"/>
        <w:ind w:left="1260" w:hanging="540"/>
        <w:rPr>
          <w:rFonts w:cstheme="minorHAnsi"/>
        </w:rPr>
      </w:pPr>
      <w:r w:rsidRPr="003B4314">
        <w:rPr>
          <w:rFonts w:cstheme="minorHAnsi"/>
        </w:rPr>
        <w:t xml:space="preserve">pro malé a střední podniky a pro výzkumné organizace náklady nebo výdaje </w:t>
      </w:r>
      <w:r w:rsidRPr="003B4314">
        <w:rPr>
          <w:rFonts w:cstheme="minorHAnsi"/>
        </w:rPr>
        <w:br/>
        <w:t>na získání a uznání práv k průmyslovému vlastnictví, které je výsledkem projektu.</w:t>
      </w:r>
    </w:p>
    <w:p w14:paraId="4A315A18" w14:textId="58715ABE" w:rsidR="009F13AE" w:rsidRPr="00A837D4" w:rsidRDefault="009F13AE" w:rsidP="004B6BFD">
      <w:pPr>
        <w:pStyle w:val="Nadpis2"/>
      </w:pPr>
      <w:bookmarkStart w:id="41" w:name="_Toc83296747"/>
      <w:r w:rsidRPr="00A837D4">
        <w:t>Z</w:t>
      </w:r>
      <w:r w:rsidR="00D428AA" w:rsidRPr="00A837D4">
        <w:t>působ a kritéria hodnocení projektů</w:t>
      </w:r>
      <w:bookmarkEnd w:id="41"/>
    </w:p>
    <w:p w14:paraId="625A1545" w14:textId="58600D9C" w:rsidR="00D43E44" w:rsidRPr="003B4314" w:rsidRDefault="00D43E44" w:rsidP="009B202E">
      <w:pPr>
        <w:suppressLineNumbers/>
        <w:spacing w:after="120"/>
        <w:rPr>
          <w:rFonts w:cstheme="minorHAnsi"/>
        </w:rPr>
      </w:pPr>
      <w:r w:rsidRPr="003B4314">
        <w:rPr>
          <w:rFonts w:cstheme="minorHAnsi"/>
        </w:rPr>
        <w:t>Návrhy projektů jsou komplexně hodnoceny v souladu s platným</w:t>
      </w:r>
      <w:r w:rsidR="00E060D4">
        <w:rPr>
          <w:rFonts w:cstheme="minorHAnsi"/>
        </w:rPr>
        <w:t>i právními předpisy, především Z</w:t>
      </w:r>
      <w:r w:rsidRPr="003B4314">
        <w:rPr>
          <w:rFonts w:cstheme="minorHAnsi"/>
        </w:rPr>
        <w:t xml:space="preserve">ákonem. Pro hodnocení návrhů projektů přijatých do veřejné soutěže ustaví poskytovatel odborný poradní orgán. Každý návrh projektu bude hodnocen nejméně dvěma odbornými posudky nezávislých </w:t>
      </w:r>
      <w:r w:rsidRPr="003B4314">
        <w:rPr>
          <w:rFonts w:cstheme="minorHAnsi"/>
        </w:rPr>
        <w:lastRenderedPageBreak/>
        <w:t>oponentů. Po vyhodnocení splnění podmínek způsobilosti a formálních náležitostí komisí pro přijímání návrhů projektů bude posuzován soulad cílů předložených návrhů projektů s podmínkami Programu.</w:t>
      </w:r>
      <w:r w:rsidR="0063011F">
        <w:rPr>
          <w:rFonts w:cstheme="minorHAnsi"/>
        </w:rPr>
        <w:t xml:space="preserve"> </w:t>
      </w:r>
    </w:p>
    <w:p w14:paraId="34EEEE01" w14:textId="77777777" w:rsidR="00D43E44" w:rsidRPr="003B4314" w:rsidRDefault="00D43E44" w:rsidP="009B202E">
      <w:pPr>
        <w:suppressLineNumbers/>
        <w:spacing w:after="120"/>
        <w:rPr>
          <w:rFonts w:cstheme="minorHAnsi"/>
        </w:rPr>
      </w:pPr>
      <w:r w:rsidRPr="003B4314">
        <w:rPr>
          <w:rFonts w:cstheme="minorHAnsi"/>
        </w:rPr>
        <w:t>Kritéria, která budou uplatněna při hodnocení návrhů projektů, jsou:</w:t>
      </w:r>
    </w:p>
    <w:p w14:paraId="638CC107" w14:textId="5D686D2C" w:rsidR="009B677B" w:rsidRPr="00815943" w:rsidRDefault="00D43E44" w:rsidP="00815943">
      <w:pPr>
        <w:pStyle w:val="Odstavecseseznamem"/>
        <w:numPr>
          <w:ilvl w:val="0"/>
          <w:numId w:val="3"/>
        </w:numPr>
        <w:suppressLineNumbers/>
        <w:spacing w:after="120"/>
        <w:ind w:left="357" w:hanging="357"/>
        <w:rPr>
          <w:rFonts w:cstheme="minorHAnsi"/>
        </w:rPr>
      </w:pPr>
      <w:r w:rsidRPr="003B4314">
        <w:rPr>
          <w:rFonts w:cstheme="minorHAnsi"/>
        </w:rPr>
        <w:t>Vylučovací – splnění podmínek veřejné soutěže tohoto Programu</w:t>
      </w:r>
    </w:p>
    <w:p w14:paraId="29D6112C" w14:textId="77777777" w:rsidR="00D43E44" w:rsidRPr="003B4314" w:rsidRDefault="00D43E44" w:rsidP="00F4225B">
      <w:pPr>
        <w:pStyle w:val="Odstavecseseznamem"/>
        <w:numPr>
          <w:ilvl w:val="0"/>
          <w:numId w:val="3"/>
        </w:numPr>
        <w:suppressLineNumbers/>
        <w:spacing w:after="120"/>
        <w:ind w:left="357" w:hanging="357"/>
        <w:rPr>
          <w:rFonts w:cstheme="minorHAnsi"/>
        </w:rPr>
      </w:pPr>
      <w:r w:rsidRPr="003B4314">
        <w:rPr>
          <w:rFonts w:cstheme="minorHAnsi"/>
        </w:rPr>
        <w:t>Bodovací:</w:t>
      </w:r>
    </w:p>
    <w:p w14:paraId="6216AAB3" w14:textId="77777777" w:rsidR="00D43E44" w:rsidRPr="009B677B" w:rsidRDefault="00D43E44" w:rsidP="00F4225B">
      <w:pPr>
        <w:numPr>
          <w:ilvl w:val="1"/>
          <w:numId w:val="3"/>
        </w:numPr>
        <w:suppressLineNumbers/>
        <w:spacing w:after="120"/>
        <w:rPr>
          <w:rFonts w:cstheme="minorHAnsi"/>
        </w:rPr>
      </w:pPr>
      <w:r w:rsidRPr="009B677B">
        <w:rPr>
          <w:rFonts w:cstheme="minorHAnsi"/>
        </w:rPr>
        <w:t>proveditelnost projektu,</w:t>
      </w:r>
    </w:p>
    <w:p w14:paraId="1A9F81D3" w14:textId="0A52B781" w:rsidR="00D43E44" w:rsidRPr="003B4314" w:rsidRDefault="00D43E44" w:rsidP="00F4225B">
      <w:pPr>
        <w:numPr>
          <w:ilvl w:val="1"/>
          <w:numId w:val="3"/>
        </w:numPr>
        <w:suppressLineNumbers/>
        <w:spacing w:after="120"/>
        <w:rPr>
          <w:rFonts w:cstheme="minorHAnsi"/>
        </w:rPr>
      </w:pPr>
      <w:r w:rsidRPr="003B4314">
        <w:rPr>
          <w:rFonts w:cstheme="minorHAnsi"/>
        </w:rPr>
        <w:t>nastavení managementu projektu</w:t>
      </w:r>
      <w:r w:rsidR="00887191">
        <w:rPr>
          <w:rFonts w:cstheme="minorHAnsi"/>
        </w:rPr>
        <w:t xml:space="preserve"> </w:t>
      </w:r>
      <w:r w:rsidR="008D52D4">
        <w:rPr>
          <w:rFonts w:cstheme="minorHAnsi"/>
        </w:rPr>
        <w:t>(včetně hodnocení zapojení juniorních výzkumníku a zapojení žen do projektu</w:t>
      </w:r>
      <w:r w:rsidR="008D52D4">
        <w:rPr>
          <w:rStyle w:val="Znakapoznpodarou"/>
          <w:rFonts w:cstheme="minorHAnsi"/>
        </w:rPr>
        <w:footnoteReference w:id="13"/>
      </w:r>
      <w:r w:rsidR="007D3CE5">
        <w:rPr>
          <w:rFonts w:cstheme="minorHAnsi"/>
        </w:rPr>
        <w:t>)</w:t>
      </w:r>
      <w:r w:rsidRPr="003B4314">
        <w:rPr>
          <w:rFonts w:cstheme="minorHAnsi"/>
        </w:rPr>
        <w:t>,</w:t>
      </w:r>
    </w:p>
    <w:p w14:paraId="7ED27582" w14:textId="02BC29AB" w:rsidR="0050567A" w:rsidRDefault="00D43E44" w:rsidP="0050567A">
      <w:pPr>
        <w:numPr>
          <w:ilvl w:val="1"/>
          <w:numId w:val="3"/>
        </w:numPr>
        <w:suppressLineNumbers/>
        <w:spacing w:after="120"/>
        <w:rPr>
          <w:rFonts w:cstheme="minorHAnsi"/>
        </w:rPr>
      </w:pPr>
      <w:r w:rsidRPr="003B4314">
        <w:rPr>
          <w:rFonts w:cstheme="minorHAnsi"/>
        </w:rPr>
        <w:t>financování projektu</w:t>
      </w:r>
      <w:r w:rsidR="0050567A">
        <w:rPr>
          <w:rFonts w:cstheme="minorHAnsi"/>
        </w:rPr>
        <w:t>,</w:t>
      </w:r>
      <w:r w:rsidR="0050567A" w:rsidRPr="0050567A">
        <w:rPr>
          <w:rFonts w:cstheme="minorHAnsi"/>
        </w:rPr>
        <w:t xml:space="preserve"> </w:t>
      </w:r>
    </w:p>
    <w:p w14:paraId="07974676" w14:textId="4C96D2FD" w:rsidR="00015994" w:rsidRDefault="00015994" w:rsidP="0050567A">
      <w:pPr>
        <w:numPr>
          <w:ilvl w:val="1"/>
          <w:numId w:val="3"/>
        </w:numPr>
        <w:suppressLineNumbers/>
        <w:spacing w:after="120"/>
        <w:rPr>
          <w:rFonts w:cstheme="minorHAnsi"/>
        </w:rPr>
      </w:pPr>
      <w:r>
        <w:rPr>
          <w:rFonts w:cstheme="minorHAnsi"/>
        </w:rPr>
        <w:t>kvalita výsledků,</w:t>
      </w:r>
    </w:p>
    <w:p w14:paraId="74444B99" w14:textId="7F2A96E1" w:rsidR="00D43E44" w:rsidRPr="00015994" w:rsidRDefault="0050567A" w:rsidP="00015994">
      <w:pPr>
        <w:numPr>
          <w:ilvl w:val="1"/>
          <w:numId w:val="3"/>
        </w:numPr>
        <w:suppressLineNumbers/>
        <w:spacing w:after="120"/>
        <w:rPr>
          <w:rFonts w:cstheme="minorHAnsi"/>
        </w:rPr>
      </w:pPr>
      <w:r w:rsidRPr="009B677B">
        <w:rPr>
          <w:rFonts w:cstheme="minorHAnsi"/>
        </w:rPr>
        <w:t xml:space="preserve">očekávaný přínos a </w:t>
      </w:r>
      <w:r w:rsidRPr="00015994">
        <w:rPr>
          <w:rFonts w:cstheme="minorHAnsi"/>
        </w:rPr>
        <w:t>implementační potenciál předpokládaných výsledků projektu.</w:t>
      </w:r>
    </w:p>
    <w:p w14:paraId="754D1962" w14:textId="2D5A1561" w:rsidR="009F13AE" w:rsidRPr="003B4314" w:rsidRDefault="00D43E44" w:rsidP="009B202E">
      <w:pPr>
        <w:suppressLineNumbers/>
        <w:spacing w:after="120"/>
        <w:rPr>
          <w:rFonts w:cstheme="minorHAnsi"/>
        </w:rPr>
      </w:pPr>
      <w:r w:rsidRPr="003B4314">
        <w:rPr>
          <w:rFonts w:cstheme="minorHAnsi"/>
        </w:rPr>
        <w:t>Podrobnější informace o podmínkách pro předl</w:t>
      </w:r>
      <w:r w:rsidR="00815943">
        <w:rPr>
          <w:rFonts w:cstheme="minorHAnsi"/>
        </w:rPr>
        <w:t xml:space="preserve">ožení návrhů projektů, způsobu </w:t>
      </w:r>
      <w:r w:rsidRPr="003B4314">
        <w:rPr>
          <w:rFonts w:cstheme="minorHAnsi"/>
        </w:rPr>
        <w:t xml:space="preserve">a kritériích jejich hodnocení budou součástí zadávací dokumentace </w:t>
      </w:r>
      <w:r w:rsidR="00381986">
        <w:rPr>
          <w:rFonts w:cstheme="minorHAnsi"/>
        </w:rPr>
        <w:t xml:space="preserve">k jednotlivým vyhlášeným veřejným soutěžím </w:t>
      </w:r>
      <w:r w:rsidR="00815943">
        <w:rPr>
          <w:rFonts w:cstheme="minorHAnsi"/>
        </w:rPr>
        <w:br/>
      </w:r>
      <w:r w:rsidR="00381986">
        <w:rPr>
          <w:rFonts w:cstheme="minorHAnsi"/>
        </w:rPr>
        <w:t xml:space="preserve">v </w:t>
      </w:r>
      <w:r w:rsidRPr="003B4314">
        <w:rPr>
          <w:rFonts w:cstheme="minorHAnsi"/>
        </w:rPr>
        <w:t xml:space="preserve">Programu. Projekty budou hodnoceny </w:t>
      </w:r>
      <w:r w:rsidR="00381986">
        <w:rPr>
          <w:rFonts w:cstheme="minorHAnsi"/>
        </w:rPr>
        <w:t xml:space="preserve">dle uvedeného postupu v zadávacích </w:t>
      </w:r>
      <w:r w:rsidR="009F3004">
        <w:rPr>
          <w:rFonts w:cstheme="minorHAnsi"/>
        </w:rPr>
        <w:t>dokumentacích</w:t>
      </w:r>
      <w:r w:rsidRPr="003B4314">
        <w:rPr>
          <w:rFonts w:cstheme="minorHAnsi"/>
        </w:rPr>
        <w:t xml:space="preserve">, </w:t>
      </w:r>
      <w:r w:rsidR="00815943">
        <w:rPr>
          <w:rFonts w:cstheme="minorHAnsi"/>
        </w:rPr>
        <w:br/>
      </w:r>
      <w:r w:rsidRPr="003B4314">
        <w:rPr>
          <w:rFonts w:cstheme="minorHAnsi"/>
        </w:rPr>
        <w:t xml:space="preserve">u každého projektu bude stanoven minimálně jeden závazný výsledek, který bude </w:t>
      </w:r>
      <w:r w:rsidR="00381986">
        <w:rPr>
          <w:rFonts w:cstheme="minorHAnsi"/>
        </w:rPr>
        <w:t xml:space="preserve">směřovat k naplnění minimálně jednoho dílčího cíle Programu a tím přispěje k naplňování hlavního cíle Programu. </w:t>
      </w:r>
    </w:p>
    <w:p w14:paraId="4555DA3C" w14:textId="542EB17C" w:rsidR="00EF42A0" w:rsidRDefault="009B677B" w:rsidP="009B202E">
      <w:pPr>
        <w:suppressLineNumbers/>
        <w:spacing w:after="120"/>
        <w:rPr>
          <w:rFonts w:cstheme="minorHAnsi"/>
        </w:rPr>
      </w:pPr>
      <w:r>
        <w:rPr>
          <w:rFonts w:cstheme="minorHAnsi"/>
        </w:rPr>
        <w:t>Odborný poradní orgán (</w:t>
      </w:r>
      <w:r w:rsidR="00341FCC" w:rsidRPr="003B4314">
        <w:rPr>
          <w:rFonts w:cstheme="minorHAnsi"/>
        </w:rPr>
        <w:t xml:space="preserve">Rada </w:t>
      </w:r>
      <w:r>
        <w:rPr>
          <w:rFonts w:cstheme="minorHAnsi"/>
        </w:rPr>
        <w:t>P</w:t>
      </w:r>
      <w:r w:rsidR="00341FCC" w:rsidRPr="003B4314">
        <w:rPr>
          <w:rFonts w:cstheme="minorHAnsi"/>
        </w:rPr>
        <w:t>rogramu</w:t>
      </w:r>
      <w:r>
        <w:rPr>
          <w:rFonts w:cstheme="minorHAnsi"/>
        </w:rPr>
        <w:t>)</w:t>
      </w:r>
      <w:r w:rsidR="00341FCC" w:rsidRPr="003B4314">
        <w:rPr>
          <w:rFonts w:cstheme="minorHAnsi"/>
        </w:rPr>
        <w:t xml:space="preserve"> bude složen nominačním procesem především ze zástupců bezpečnostních a záchranných sborů</w:t>
      </w:r>
      <w:r>
        <w:rPr>
          <w:rFonts w:cstheme="minorHAnsi"/>
        </w:rPr>
        <w:t xml:space="preserve"> a ústředních orgánů státní správy, které plní úkoly v oblasti vnitřní bezpečnosti, kteří budou doplněni civilními experty, převážně zástupci profesních asociací, působících v oblasti bezpečnosti. </w:t>
      </w:r>
      <w:r w:rsidR="00341FCC" w:rsidRPr="003B4314">
        <w:rPr>
          <w:rFonts w:cstheme="minorHAnsi"/>
        </w:rPr>
        <w:t>Bude tedy mít</w:t>
      </w:r>
      <w:r>
        <w:rPr>
          <w:rFonts w:cstheme="minorHAnsi"/>
        </w:rPr>
        <w:t xml:space="preserve"> převážně</w:t>
      </w:r>
      <w:r w:rsidR="00341FCC" w:rsidRPr="003B4314">
        <w:rPr>
          <w:rFonts w:cstheme="minorHAnsi"/>
        </w:rPr>
        <w:t xml:space="preserve"> </w:t>
      </w:r>
      <w:r>
        <w:rPr>
          <w:rFonts w:cstheme="minorHAnsi"/>
        </w:rPr>
        <w:t>u</w:t>
      </w:r>
      <w:r w:rsidR="00341FCC" w:rsidRPr="003B4314">
        <w:rPr>
          <w:rFonts w:cstheme="minorHAnsi"/>
        </w:rPr>
        <w:t>živatelský charakter ve smyslu MKBV2017+</w:t>
      </w:r>
      <w:r w:rsidR="000C1602">
        <w:rPr>
          <w:rStyle w:val="Znakapoznpodarou"/>
          <w:rFonts w:cstheme="minorHAnsi"/>
        </w:rPr>
        <w:footnoteReference w:id="14"/>
      </w:r>
      <w:r w:rsidR="00341FCC" w:rsidRPr="003B4314">
        <w:rPr>
          <w:rFonts w:cstheme="minorHAnsi"/>
        </w:rPr>
        <w:t xml:space="preserve">. </w:t>
      </w:r>
      <w:bookmarkStart w:id="42" w:name="_Toc512593841"/>
      <w:bookmarkStart w:id="43" w:name="_Toc512593952"/>
      <w:bookmarkStart w:id="44" w:name="_Toc531864530"/>
      <w:r w:rsidR="00EF42A0">
        <w:rPr>
          <w:rFonts w:cstheme="minorHAnsi"/>
          <w:u w:val="single"/>
        </w:rPr>
        <w:t xml:space="preserve">Všechny procesy související s hodnocením návrhu projektů, monitorováním projektů a kontrolní procesy jsou poskytovatelem nastavovány tak, aby výzkum prováděný v rámci podpořených projektů přispíval a dosahoval excelentního výzkumu. </w:t>
      </w:r>
    </w:p>
    <w:p w14:paraId="15E8F25F" w14:textId="533628DA" w:rsidR="00EF42A0" w:rsidRDefault="00EF42A0" w:rsidP="009B202E">
      <w:pPr>
        <w:suppressLineNumbers/>
        <w:spacing w:after="120"/>
        <w:rPr>
          <w:rFonts w:cstheme="minorHAnsi"/>
        </w:rPr>
      </w:pPr>
    </w:p>
    <w:p w14:paraId="5FCA24EF" w14:textId="7AF41FC8" w:rsidR="0027429E" w:rsidRDefault="0027429E" w:rsidP="009B202E">
      <w:pPr>
        <w:suppressLineNumbers/>
        <w:spacing w:after="120"/>
        <w:rPr>
          <w:rFonts w:cstheme="minorHAnsi"/>
        </w:rPr>
      </w:pPr>
    </w:p>
    <w:p w14:paraId="02744468" w14:textId="477DBC4A" w:rsidR="0027429E" w:rsidRDefault="0027429E" w:rsidP="009B202E">
      <w:pPr>
        <w:suppressLineNumbers/>
        <w:spacing w:after="120"/>
        <w:rPr>
          <w:rFonts w:cstheme="minorHAnsi"/>
        </w:rPr>
      </w:pPr>
    </w:p>
    <w:p w14:paraId="6360D267" w14:textId="1257B289" w:rsidR="0027429E" w:rsidRDefault="0027429E" w:rsidP="009B202E">
      <w:pPr>
        <w:suppressLineNumbers/>
        <w:spacing w:after="120"/>
        <w:rPr>
          <w:rFonts w:cstheme="minorHAnsi"/>
        </w:rPr>
      </w:pPr>
      <w:bookmarkStart w:id="45" w:name="_GoBack"/>
      <w:bookmarkEnd w:id="45"/>
    </w:p>
    <w:p w14:paraId="4968FB59" w14:textId="77777777" w:rsidR="0027429E" w:rsidRPr="003B4314" w:rsidRDefault="0027429E" w:rsidP="009B202E">
      <w:pPr>
        <w:suppressLineNumbers/>
        <w:spacing w:after="120"/>
        <w:rPr>
          <w:rFonts w:cstheme="minorHAnsi"/>
        </w:rPr>
      </w:pPr>
    </w:p>
    <w:p w14:paraId="3AE47396" w14:textId="7276778E" w:rsidR="002B5C43" w:rsidRPr="00A837D4" w:rsidRDefault="002B5C43" w:rsidP="004B6BFD">
      <w:pPr>
        <w:pStyle w:val="Nadpis1"/>
      </w:pPr>
      <w:bookmarkStart w:id="46" w:name="_Toc83296748"/>
      <w:r w:rsidRPr="00A837D4">
        <w:t>Rizika</w:t>
      </w:r>
      <w:bookmarkEnd w:id="42"/>
      <w:bookmarkEnd w:id="43"/>
      <w:bookmarkEnd w:id="44"/>
      <w:bookmarkEnd w:id="46"/>
    </w:p>
    <w:p w14:paraId="7B68300C" w14:textId="429776FC" w:rsidR="00E6623F" w:rsidRDefault="002B5C43" w:rsidP="009B202E">
      <w:pPr>
        <w:suppressLineNumbers/>
        <w:spacing w:after="120"/>
        <w:rPr>
          <w:rFonts w:cstheme="minorHAnsi"/>
        </w:rPr>
      </w:pPr>
      <w:r w:rsidRPr="003B4314">
        <w:rPr>
          <w:rFonts w:cstheme="minorHAnsi"/>
        </w:rPr>
        <w:t xml:space="preserve">V rámci přípravy </w:t>
      </w:r>
      <w:r w:rsidRPr="004B6BFD">
        <w:rPr>
          <w:rFonts w:cstheme="minorHAnsi"/>
        </w:rPr>
        <w:t>Programu</w:t>
      </w:r>
      <w:r w:rsidRPr="003B4314">
        <w:rPr>
          <w:rFonts w:cstheme="minorHAnsi"/>
        </w:rPr>
        <w:t xml:space="preserve"> byla provedena také komplexní analýza rizik spojených s jeho realizací. </w:t>
      </w:r>
      <w:r w:rsidR="00D139DE" w:rsidRPr="003B4314">
        <w:rPr>
          <w:rFonts w:cstheme="minorHAnsi"/>
        </w:rPr>
        <w:br/>
      </w:r>
      <w:r w:rsidRPr="003B4314">
        <w:rPr>
          <w:rFonts w:cstheme="minorHAnsi"/>
        </w:rPr>
        <w:t>V níže uvedených tabulkách jsou zaznamenána rizika, která by mohla zamezit nebo omezit dosažení vytyčených cílů. Rizika j</w:t>
      </w:r>
      <w:r w:rsidR="009B677B">
        <w:rPr>
          <w:rFonts w:cstheme="minorHAnsi"/>
        </w:rPr>
        <w:t>sou rozdělena do</w:t>
      </w:r>
      <w:r w:rsidRPr="003B4314">
        <w:rPr>
          <w:rFonts w:cstheme="minorHAnsi"/>
        </w:rPr>
        <w:t xml:space="preserve"> skupin rizik politických, ekonomických, společenských, technických, legislativních a environmentálních (analýza PESTLE). Žádné environmentální riziko nebylo identifikováno. V analýze byla využita pětistupňová škála hodnocení pravděpodobnosti a dopadu.</w:t>
      </w:r>
    </w:p>
    <w:p w14:paraId="668D15FE" w14:textId="77777777" w:rsidR="00A6509B" w:rsidRPr="003B4314" w:rsidRDefault="002B5C43" w:rsidP="009B202E">
      <w:pPr>
        <w:suppressLineNumbers/>
        <w:spacing w:after="120"/>
        <w:rPr>
          <w:rFonts w:eastAsia="Calibri"/>
        </w:rPr>
      </w:pPr>
      <w:r w:rsidRPr="003B4314">
        <w:rPr>
          <w:rFonts w:cstheme="minorHAnsi"/>
        </w:rPr>
        <w:t>Hodnocení jednotlivých rizik vychází z následující tabulky.</w:t>
      </w:r>
      <w:r w:rsidR="00A6509B" w:rsidRPr="003B4314">
        <w:rPr>
          <w:rFonts w:cstheme="minorHAnsi"/>
        </w:rPr>
        <w:t xml:space="preserve"> </w:t>
      </w:r>
      <w:r w:rsidR="00A6509B" w:rsidRPr="003B4314">
        <w:rPr>
          <w:rFonts w:eastAsia="Calibri"/>
        </w:rPr>
        <w:t>U každého rizika jsou navržena opatření vedoucí k jeho minimalizaci.</w:t>
      </w:r>
    </w:p>
    <w:tbl>
      <w:tblPr>
        <w:tblW w:w="5002" w:type="dxa"/>
        <w:jc w:val="center"/>
        <w:tblCellMar>
          <w:left w:w="70" w:type="dxa"/>
          <w:right w:w="70" w:type="dxa"/>
        </w:tblCellMar>
        <w:tblLook w:val="04A0" w:firstRow="1" w:lastRow="0" w:firstColumn="1" w:lastColumn="0" w:noHBand="0" w:noVBand="1"/>
      </w:tblPr>
      <w:tblGrid>
        <w:gridCol w:w="634"/>
        <w:gridCol w:w="768"/>
        <w:gridCol w:w="720"/>
        <w:gridCol w:w="720"/>
        <w:gridCol w:w="720"/>
        <w:gridCol w:w="720"/>
        <w:gridCol w:w="720"/>
      </w:tblGrid>
      <w:tr w:rsidR="002B5C43" w:rsidRPr="003B4314" w14:paraId="046E2F55" w14:textId="77777777" w:rsidTr="004B6BFD">
        <w:trPr>
          <w:trHeight w:val="420"/>
          <w:jc w:val="center"/>
        </w:trPr>
        <w:tc>
          <w:tcPr>
            <w:tcW w:w="634" w:type="dxa"/>
            <w:vMerge w:val="restart"/>
            <w:tcBorders>
              <w:top w:val="nil"/>
              <w:left w:val="nil"/>
              <w:bottom w:val="nil"/>
              <w:right w:val="single" w:sz="4" w:space="0" w:color="auto"/>
            </w:tcBorders>
            <w:shd w:val="clear" w:color="auto" w:fill="auto"/>
            <w:noWrap/>
            <w:textDirection w:val="btLr"/>
            <w:vAlign w:val="center"/>
            <w:hideMark/>
          </w:tcPr>
          <w:p w14:paraId="4D919647" w14:textId="77777777" w:rsidR="002B5C43" w:rsidRPr="003B4314" w:rsidRDefault="002B5C43" w:rsidP="009B202E">
            <w:pPr>
              <w:suppressLineNumbers/>
              <w:spacing w:after="120"/>
              <w:jc w:val="center"/>
              <w:rPr>
                <w:color w:val="000000"/>
              </w:rPr>
            </w:pPr>
            <w:r w:rsidRPr="003B4314">
              <w:rPr>
                <w:color w:val="000000"/>
              </w:rPr>
              <w:lastRenderedPageBreak/>
              <w:t>DOPADY RIZIKA</w:t>
            </w:r>
          </w:p>
        </w:tc>
        <w:tc>
          <w:tcPr>
            <w:tcW w:w="768" w:type="dxa"/>
            <w:tcBorders>
              <w:top w:val="single" w:sz="4" w:space="0" w:color="auto"/>
              <w:left w:val="nil"/>
              <w:bottom w:val="single" w:sz="4" w:space="0" w:color="auto"/>
              <w:right w:val="single" w:sz="4" w:space="0" w:color="auto"/>
            </w:tcBorders>
            <w:shd w:val="clear" w:color="000000" w:fill="BFBFBF"/>
            <w:noWrap/>
            <w:vAlign w:val="center"/>
            <w:hideMark/>
          </w:tcPr>
          <w:p w14:paraId="653EF5EF" w14:textId="77777777" w:rsidR="002B5C43" w:rsidRPr="003B4314" w:rsidRDefault="002B5C43" w:rsidP="009B202E">
            <w:pPr>
              <w:suppressLineNumbers/>
              <w:spacing w:after="120"/>
              <w:jc w:val="center"/>
              <w:rPr>
                <w:b/>
                <w:bCs/>
                <w:color w:val="000000"/>
              </w:rPr>
            </w:pPr>
            <w:r w:rsidRPr="003B4314">
              <w:rPr>
                <w:b/>
                <w:bCs/>
                <w:color w:val="00000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B6DD15A" w14:textId="77777777" w:rsidR="002B5C43" w:rsidRPr="003B4314" w:rsidRDefault="002B5C43" w:rsidP="009B202E">
            <w:pPr>
              <w:suppressLineNumbers/>
              <w:spacing w:after="120"/>
              <w:jc w:val="center"/>
              <w:rPr>
                <w:color w:val="000000"/>
              </w:rPr>
            </w:pPr>
            <w:r w:rsidRPr="003B4314">
              <w:rPr>
                <w:color w:val="000000"/>
              </w:rPr>
              <w:t>5</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7F054960" w14:textId="77777777" w:rsidR="002B5C43" w:rsidRPr="003B4314" w:rsidRDefault="002B5C43" w:rsidP="009B202E">
            <w:pPr>
              <w:suppressLineNumbers/>
              <w:spacing w:after="120"/>
              <w:jc w:val="center"/>
              <w:rPr>
                <w:color w:val="000000"/>
              </w:rPr>
            </w:pPr>
            <w:r w:rsidRPr="003B4314">
              <w:rPr>
                <w:color w:val="000000"/>
              </w:rPr>
              <w:t>10</w:t>
            </w:r>
          </w:p>
        </w:tc>
        <w:tc>
          <w:tcPr>
            <w:tcW w:w="720" w:type="dxa"/>
            <w:tcBorders>
              <w:top w:val="single" w:sz="4" w:space="0" w:color="auto"/>
              <w:left w:val="nil"/>
              <w:bottom w:val="single" w:sz="4" w:space="0" w:color="auto"/>
              <w:right w:val="single" w:sz="4" w:space="0" w:color="auto"/>
            </w:tcBorders>
            <w:shd w:val="clear" w:color="000000" w:fill="FFC000"/>
            <w:noWrap/>
            <w:vAlign w:val="center"/>
            <w:hideMark/>
          </w:tcPr>
          <w:p w14:paraId="08DCE65C" w14:textId="77777777" w:rsidR="002B5C43" w:rsidRPr="003B4314" w:rsidRDefault="002B5C43" w:rsidP="009B202E">
            <w:pPr>
              <w:suppressLineNumbers/>
              <w:spacing w:after="120"/>
              <w:jc w:val="center"/>
              <w:rPr>
                <w:color w:val="000000"/>
              </w:rPr>
            </w:pPr>
            <w:r w:rsidRPr="003B4314">
              <w:rPr>
                <w:color w:val="000000"/>
              </w:rPr>
              <w:t>15</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1D7DFBEA" w14:textId="77777777" w:rsidR="002B5C43" w:rsidRPr="003B4314" w:rsidRDefault="002B5C43" w:rsidP="009B202E">
            <w:pPr>
              <w:suppressLineNumbers/>
              <w:spacing w:after="120"/>
              <w:jc w:val="center"/>
              <w:rPr>
                <w:color w:val="000000"/>
              </w:rPr>
            </w:pPr>
            <w:r w:rsidRPr="003B4314">
              <w:rPr>
                <w:color w:val="000000"/>
              </w:rPr>
              <w:t>20</w:t>
            </w:r>
          </w:p>
        </w:tc>
        <w:tc>
          <w:tcPr>
            <w:tcW w:w="720" w:type="dxa"/>
            <w:tcBorders>
              <w:top w:val="single" w:sz="4" w:space="0" w:color="auto"/>
              <w:left w:val="nil"/>
              <w:bottom w:val="single" w:sz="4" w:space="0" w:color="auto"/>
              <w:right w:val="single" w:sz="4" w:space="0" w:color="auto"/>
            </w:tcBorders>
            <w:shd w:val="clear" w:color="000000" w:fill="FF0000"/>
            <w:noWrap/>
            <w:vAlign w:val="center"/>
            <w:hideMark/>
          </w:tcPr>
          <w:p w14:paraId="05360518" w14:textId="77777777" w:rsidR="002B5C43" w:rsidRPr="003B4314" w:rsidRDefault="002B5C43" w:rsidP="009B202E">
            <w:pPr>
              <w:suppressLineNumbers/>
              <w:spacing w:after="120"/>
              <w:jc w:val="center"/>
              <w:rPr>
                <w:color w:val="000000"/>
              </w:rPr>
            </w:pPr>
            <w:r w:rsidRPr="003B4314">
              <w:rPr>
                <w:color w:val="000000"/>
              </w:rPr>
              <w:t>25</w:t>
            </w:r>
          </w:p>
        </w:tc>
      </w:tr>
      <w:tr w:rsidR="002B5C43" w:rsidRPr="003B4314" w14:paraId="5F6CDC38" w14:textId="77777777" w:rsidTr="004B6BFD">
        <w:trPr>
          <w:trHeight w:val="420"/>
          <w:jc w:val="center"/>
        </w:trPr>
        <w:tc>
          <w:tcPr>
            <w:tcW w:w="634" w:type="dxa"/>
            <w:vMerge/>
            <w:tcBorders>
              <w:top w:val="nil"/>
              <w:left w:val="nil"/>
              <w:bottom w:val="nil"/>
              <w:right w:val="single" w:sz="4" w:space="0" w:color="auto"/>
            </w:tcBorders>
            <w:vAlign w:val="center"/>
            <w:hideMark/>
          </w:tcPr>
          <w:p w14:paraId="121A798B" w14:textId="77777777" w:rsidR="002B5C43" w:rsidRPr="003B4314" w:rsidRDefault="002B5C43" w:rsidP="009B202E">
            <w:pPr>
              <w:suppressLineNumbers/>
              <w:spacing w:after="120"/>
              <w:jc w:val="left"/>
              <w:rPr>
                <w:color w:val="000000"/>
              </w:rPr>
            </w:pPr>
          </w:p>
        </w:tc>
        <w:tc>
          <w:tcPr>
            <w:tcW w:w="768" w:type="dxa"/>
            <w:tcBorders>
              <w:top w:val="nil"/>
              <w:left w:val="nil"/>
              <w:bottom w:val="single" w:sz="4" w:space="0" w:color="auto"/>
              <w:right w:val="single" w:sz="4" w:space="0" w:color="auto"/>
            </w:tcBorders>
            <w:shd w:val="clear" w:color="000000" w:fill="BFBFBF"/>
            <w:noWrap/>
            <w:vAlign w:val="center"/>
            <w:hideMark/>
          </w:tcPr>
          <w:p w14:paraId="1CB57CAD" w14:textId="77777777" w:rsidR="002B5C43" w:rsidRPr="003B4314" w:rsidRDefault="002B5C43" w:rsidP="009B202E">
            <w:pPr>
              <w:suppressLineNumbers/>
              <w:spacing w:after="120"/>
              <w:jc w:val="center"/>
              <w:rPr>
                <w:b/>
                <w:bCs/>
                <w:color w:val="000000"/>
              </w:rPr>
            </w:pPr>
            <w:r w:rsidRPr="003B4314">
              <w:rPr>
                <w:b/>
                <w:bCs/>
                <w:color w:val="000000"/>
              </w:rPr>
              <w:t>4</w:t>
            </w:r>
          </w:p>
        </w:tc>
        <w:tc>
          <w:tcPr>
            <w:tcW w:w="720" w:type="dxa"/>
            <w:tcBorders>
              <w:top w:val="nil"/>
              <w:left w:val="nil"/>
              <w:bottom w:val="single" w:sz="4" w:space="0" w:color="auto"/>
              <w:right w:val="single" w:sz="4" w:space="0" w:color="auto"/>
            </w:tcBorders>
            <w:shd w:val="clear" w:color="auto" w:fill="auto"/>
            <w:noWrap/>
            <w:vAlign w:val="center"/>
            <w:hideMark/>
          </w:tcPr>
          <w:p w14:paraId="797CAEA5" w14:textId="77777777" w:rsidR="002B5C43" w:rsidRPr="003B4314" w:rsidRDefault="002B5C43" w:rsidP="009B202E">
            <w:pPr>
              <w:suppressLineNumbers/>
              <w:spacing w:after="120"/>
              <w:jc w:val="center"/>
              <w:rPr>
                <w:color w:val="000000"/>
              </w:rPr>
            </w:pPr>
            <w:r w:rsidRPr="003B4314">
              <w:rPr>
                <w:color w:val="000000"/>
              </w:rPr>
              <w:t>4</w:t>
            </w:r>
          </w:p>
        </w:tc>
        <w:tc>
          <w:tcPr>
            <w:tcW w:w="720" w:type="dxa"/>
            <w:tcBorders>
              <w:top w:val="nil"/>
              <w:left w:val="nil"/>
              <w:bottom w:val="single" w:sz="4" w:space="0" w:color="auto"/>
              <w:right w:val="single" w:sz="4" w:space="0" w:color="auto"/>
            </w:tcBorders>
            <w:shd w:val="clear" w:color="auto" w:fill="auto"/>
            <w:noWrap/>
            <w:vAlign w:val="center"/>
            <w:hideMark/>
          </w:tcPr>
          <w:p w14:paraId="3F44D9D1" w14:textId="77777777" w:rsidR="002B5C43" w:rsidRPr="003B4314" w:rsidRDefault="002B5C43" w:rsidP="009B202E">
            <w:pPr>
              <w:suppressLineNumbers/>
              <w:spacing w:after="120"/>
              <w:jc w:val="center"/>
              <w:rPr>
                <w:color w:val="000000"/>
              </w:rPr>
            </w:pPr>
            <w:r w:rsidRPr="003B4314">
              <w:rPr>
                <w:color w:val="000000"/>
              </w:rPr>
              <w:t>8</w:t>
            </w:r>
          </w:p>
        </w:tc>
        <w:tc>
          <w:tcPr>
            <w:tcW w:w="720" w:type="dxa"/>
            <w:tcBorders>
              <w:top w:val="nil"/>
              <w:left w:val="nil"/>
              <w:bottom w:val="single" w:sz="4" w:space="0" w:color="auto"/>
              <w:right w:val="single" w:sz="4" w:space="0" w:color="auto"/>
            </w:tcBorders>
            <w:shd w:val="clear" w:color="000000" w:fill="FFC000"/>
            <w:noWrap/>
            <w:vAlign w:val="center"/>
            <w:hideMark/>
          </w:tcPr>
          <w:p w14:paraId="4F64F3BA" w14:textId="77777777" w:rsidR="002B5C43" w:rsidRPr="003B4314" w:rsidRDefault="002B5C43" w:rsidP="009B202E">
            <w:pPr>
              <w:suppressLineNumbers/>
              <w:spacing w:after="120"/>
              <w:jc w:val="center"/>
              <w:rPr>
                <w:color w:val="000000"/>
              </w:rPr>
            </w:pPr>
            <w:r w:rsidRPr="003B4314">
              <w:rPr>
                <w:color w:val="000000"/>
              </w:rPr>
              <w:t>12</w:t>
            </w:r>
          </w:p>
        </w:tc>
        <w:tc>
          <w:tcPr>
            <w:tcW w:w="720" w:type="dxa"/>
            <w:tcBorders>
              <w:top w:val="nil"/>
              <w:left w:val="nil"/>
              <w:bottom w:val="single" w:sz="4" w:space="0" w:color="auto"/>
              <w:right w:val="single" w:sz="4" w:space="0" w:color="auto"/>
            </w:tcBorders>
            <w:shd w:val="clear" w:color="000000" w:fill="FF0000"/>
            <w:noWrap/>
            <w:vAlign w:val="center"/>
            <w:hideMark/>
          </w:tcPr>
          <w:p w14:paraId="6EE70760" w14:textId="77777777" w:rsidR="002B5C43" w:rsidRPr="003B4314" w:rsidRDefault="002B5C43" w:rsidP="009B202E">
            <w:pPr>
              <w:suppressLineNumbers/>
              <w:spacing w:after="120"/>
              <w:jc w:val="center"/>
              <w:rPr>
                <w:color w:val="000000"/>
              </w:rPr>
            </w:pPr>
            <w:r w:rsidRPr="003B4314">
              <w:rPr>
                <w:color w:val="000000"/>
              </w:rPr>
              <w:t>16</w:t>
            </w:r>
          </w:p>
        </w:tc>
        <w:tc>
          <w:tcPr>
            <w:tcW w:w="720" w:type="dxa"/>
            <w:tcBorders>
              <w:top w:val="nil"/>
              <w:left w:val="nil"/>
              <w:bottom w:val="single" w:sz="4" w:space="0" w:color="auto"/>
              <w:right w:val="single" w:sz="4" w:space="0" w:color="auto"/>
            </w:tcBorders>
            <w:shd w:val="clear" w:color="000000" w:fill="FF0000"/>
            <w:noWrap/>
            <w:vAlign w:val="center"/>
            <w:hideMark/>
          </w:tcPr>
          <w:p w14:paraId="3012E1CA" w14:textId="77777777" w:rsidR="002B5C43" w:rsidRPr="003B4314" w:rsidRDefault="002B5C43" w:rsidP="009B202E">
            <w:pPr>
              <w:suppressLineNumbers/>
              <w:spacing w:after="120"/>
              <w:jc w:val="center"/>
              <w:rPr>
                <w:color w:val="000000"/>
              </w:rPr>
            </w:pPr>
            <w:r w:rsidRPr="003B4314">
              <w:rPr>
                <w:color w:val="000000"/>
              </w:rPr>
              <w:t>20</w:t>
            </w:r>
          </w:p>
        </w:tc>
      </w:tr>
      <w:tr w:rsidR="002B5C43" w:rsidRPr="003B4314" w14:paraId="0A889F2F" w14:textId="77777777" w:rsidTr="004B6BFD">
        <w:trPr>
          <w:trHeight w:val="420"/>
          <w:jc w:val="center"/>
        </w:trPr>
        <w:tc>
          <w:tcPr>
            <w:tcW w:w="634" w:type="dxa"/>
            <w:vMerge/>
            <w:tcBorders>
              <w:top w:val="nil"/>
              <w:left w:val="nil"/>
              <w:bottom w:val="nil"/>
              <w:right w:val="single" w:sz="4" w:space="0" w:color="auto"/>
            </w:tcBorders>
            <w:vAlign w:val="center"/>
            <w:hideMark/>
          </w:tcPr>
          <w:p w14:paraId="6E494860" w14:textId="77777777" w:rsidR="002B5C43" w:rsidRPr="003B4314" w:rsidRDefault="002B5C43" w:rsidP="009B202E">
            <w:pPr>
              <w:suppressLineNumbers/>
              <w:spacing w:after="120"/>
              <w:jc w:val="left"/>
              <w:rPr>
                <w:color w:val="000000"/>
              </w:rPr>
            </w:pPr>
          </w:p>
        </w:tc>
        <w:tc>
          <w:tcPr>
            <w:tcW w:w="768" w:type="dxa"/>
            <w:tcBorders>
              <w:top w:val="nil"/>
              <w:left w:val="nil"/>
              <w:bottom w:val="single" w:sz="4" w:space="0" w:color="auto"/>
              <w:right w:val="single" w:sz="4" w:space="0" w:color="auto"/>
            </w:tcBorders>
            <w:shd w:val="clear" w:color="000000" w:fill="BFBFBF"/>
            <w:noWrap/>
            <w:vAlign w:val="center"/>
            <w:hideMark/>
          </w:tcPr>
          <w:p w14:paraId="0C6A8AA2" w14:textId="77777777" w:rsidR="002B5C43" w:rsidRPr="003B4314" w:rsidRDefault="002B5C43" w:rsidP="009B202E">
            <w:pPr>
              <w:suppressLineNumbers/>
              <w:spacing w:after="120"/>
              <w:jc w:val="center"/>
              <w:rPr>
                <w:b/>
                <w:bCs/>
                <w:color w:val="000000"/>
              </w:rPr>
            </w:pPr>
            <w:r w:rsidRPr="003B4314">
              <w:rPr>
                <w:b/>
                <w:bCs/>
                <w:color w:val="000000"/>
              </w:rPr>
              <w:t>3</w:t>
            </w:r>
          </w:p>
        </w:tc>
        <w:tc>
          <w:tcPr>
            <w:tcW w:w="720" w:type="dxa"/>
            <w:tcBorders>
              <w:top w:val="nil"/>
              <w:left w:val="nil"/>
              <w:bottom w:val="single" w:sz="4" w:space="0" w:color="auto"/>
              <w:right w:val="single" w:sz="4" w:space="0" w:color="auto"/>
            </w:tcBorders>
            <w:shd w:val="clear" w:color="auto" w:fill="auto"/>
            <w:noWrap/>
            <w:vAlign w:val="center"/>
            <w:hideMark/>
          </w:tcPr>
          <w:p w14:paraId="6E5510C9" w14:textId="77777777" w:rsidR="002B5C43" w:rsidRPr="003B4314" w:rsidRDefault="002B5C43" w:rsidP="009B202E">
            <w:pPr>
              <w:suppressLineNumbers/>
              <w:spacing w:after="120"/>
              <w:jc w:val="center"/>
              <w:rPr>
                <w:color w:val="000000"/>
              </w:rPr>
            </w:pPr>
            <w:r w:rsidRPr="003B4314">
              <w:rPr>
                <w:color w:val="000000"/>
              </w:rPr>
              <w:t>3</w:t>
            </w:r>
          </w:p>
        </w:tc>
        <w:tc>
          <w:tcPr>
            <w:tcW w:w="720" w:type="dxa"/>
            <w:tcBorders>
              <w:top w:val="nil"/>
              <w:left w:val="nil"/>
              <w:bottom w:val="single" w:sz="4" w:space="0" w:color="auto"/>
              <w:right w:val="single" w:sz="4" w:space="0" w:color="auto"/>
            </w:tcBorders>
            <w:shd w:val="clear" w:color="auto" w:fill="auto"/>
            <w:noWrap/>
            <w:vAlign w:val="center"/>
            <w:hideMark/>
          </w:tcPr>
          <w:p w14:paraId="5071E81A" w14:textId="77777777" w:rsidR="002B5C43" w:rsidRPr="003B4314" w:rsidRDefault="002B5C43" w:rsidP="009B202E">
            <w:pPr>
              <w:suppressLineNumbers/>
              <w:spacing w:after="120"/>
              <w:jc w:val="center"/>
              <w:rPr>
                <w:color w:val="000000"/>
              </w:rPr>
            </w:pPr>
            <w:r w:rsidRPr="003B4314">
              <w:rPr>
                <w:color w:val="000000"/>
              </w:rPr>
              <w:t>6</w:t>
            </w:r>
          </w:p>
        </w:tc>
        <w:tc>
          <w:tcPr>
            <w:tcW w:w="720" w:type="dxa"/>
            <w:tcBorders>
              <w:top w:val="nil"/>
              <w:left w:val="nil"/>
              <w:bottom w:val="single" w:sz="4" w:space="0" w:color="auto"/>
              <w:right w:val="single" w:sz="4" w:space="0" w:color="auto"/>
            </w:tcBorders>
            <w:shd w:val="clear" w:color="auto" w:fill="auto"/>
            <w:noWrap/>
            <w:vAlign w:val="center"/>
            <w:hideMark/>
          </w:tcPr>
          <w:p w14:paraId="3CE21BAA" w14:textId="77777777" w:rsidR="002B5C43" w:rsidRPr="003B4314" w:rsidRDefault="002B5C43" w:rsidP="009B202E">
            <w:pPr>
              <w:suppressLineNumbers/>
              <w:spacing w:after="120"/>
              <w:jc w:val="center"/>
              <w:rPr>
                <w:color w:val="000000"/>
              </w:rPr>
            </w:pPr>
            <w:r w:rsidRPr="003B4314">
              <w:rPr>
                <w:color w:val="000000"/>
              </w:rPr>
              <w:t>9</w:t>
            </w:r>
          </w:p>
        </w:tc>
        <w:tc>
          <w:tcPr>
            <w:tcW w:w="720" w:type="dxa"/>
            <w:tcBorders>
              <w:top w:val="nil"/>
              <w:left w:val="nil"/>
              <w:bottom w:val="single" w:sz="4" w:space="0" w:color="auto"/>
              <w:right w:val="single" w:sz="4" w:space="0" w:color="auto"/>
            </w:tcBorders>
            <w:shd w:val="clear" w:color="000000" w:fill="FFC000"/>
            <w:noWrap/>
            <w:vAlign w:val="center"/>
            <w:hideMark/>
          </w:tcPr>
          <w:p w14:paraId="494C2A04" w14:textId="77777777" w:rsidR="002B5C43" w:rsidRPr="003B4314" w:rsidRDefault="002B5C43" w:rsidP="009B202E">
            <w:pPr>
              <w:suppressLineNumbers/>
              <w:spacing w:after="120"/>
              <w:jc w:val="center"/>
              <w:rPr>
                <w:color w:val="000000"/>
              </w:rPr>
            </w:pPr>
            <w:r w:rsidRPr="003B4314">
              <w:rPr>
                <w:color w:val="000000"/>
              </w:rPr>
              <w:t>12</w:t>
            </w:r>
          </w:p>
        </w:tc>
        <w:tc>
          <w:tcPr>
            <w:tcW w:w="720" w:type="dxa"/>
            <w:tcBorders>
              <w:top w:val="nil"/>
              <w:left w:val="nil"/>
              <w:bottom w:val="single" w:sz="4" w:space="0" w:color="auto"/>
              <w:right w:val="single" w:sz="4" w:space="0" w:color="auto"/>
            </w:tcBorders>
            <w:shd w:val="clear" w:color="000000" w:fill="FFC000"/>
            <w:noWrap/>
            <w:vAlign w:val="center"/>
            <w:hideMark/>
          </w:tcPr>
          <w:p w14:paraId="09F4AC74" w14:textId="77777777" w:rsidR="002B5C43" w:rsidRPr="003B4314" w:rsidRDefault="002B5C43" w:rsidP="009B202E">
            <w:pPr>
              <w:suppressLineNumbers/>
              <w:spacing w:after="120"/>
              <w:jc w:val="center"/>
              <w:rPr>
                <w:color w:val="000000"/>
              </w:rPr>
            </w:pPr>
            <w:r w:rsidRPr="003B4314">
              <w:rPr>
                <w:color w:val="000000"/>
              </w:rPr>
              <w:t>15</w:t>
            </w:r>
          </w:p>
        </w:tc>
      </w:tr>
      <w:tr w:rsidR="002B5C43" w:rsidRPr="003B4314" w14:paraId="44682233" w14:textId="77777777" w:rsidTr="004B6BFD">
        <w:trPr>
          <w:trHeight w:val="420"/>
          <w:jc w:val="center"/>
        </w:trPr>
        <w:tc>
          <w:tcPr>
            <w:tcW w:w="634" w:type="dxa"/>
            <w:vMerge/>
            <w:tcBorders>
              <w:top w:val="nil"/>
              <w:left w:val="nil"/>
              <w:bottom w:val="nil"/>
              <w:right w:val="single" w:sz="4" w:space="0" w:color="auto"/>
            </w:tcBorders>
            <w:vAlign w:val="center"/>
            <w:hideMark/>
          </w:tcPr>
          <w:p w14:paraId="364F74AA" w14:textId="77777777" w:rsidR="002B5C43" w:rsidRPr="003B4314" w:rsidRDefault="002B5C43" w:rsidP="009B202E">
            <w:pPr>
              <w:suppressLineNumbers/>
              <w:spacing w:after="120"/>
              <w:jc w:val="left"/>
              <w:rPr>
                <w:color w:val="000000"/>
              </w:rPr>
            </w:pPr>
          </w:p>
        </w:tc>
        <w:tc>
          <w:tcPr>
            <w:tcW w:w="768" w:type="dxa"/>
            <w:tcBorders>
              <w:top w:val="nil"/>
              <w:left w:val="nil"/>
              <w:bottom w:val="single" w:sz="4" w:space="0" w:color="auto"/>
              <w:right w:val="single" w:sz="4" w:space="0" w:color="auto"/>
            </w:tcBorders>
            <w:shd w:val="clear" w:color="000000" w:fill="BFBFBF"/>
            <w:noWrap/>
            <w:vAlign w:val="center"/>
            <w:hideMark/>
          </w:tcPr>
          <w:p w14:paraId="213B6624" w14:textId="77777777" w:rsidR="002B5C43" w:rsidRPr="003B4314" w:rsidRDefault="002B5C43" w:rsidP="009B202E">
            <w:pPr>
              <w:suppressLineNumbers/>
              <w:spacing w:after="120"/>
              <w:jc w:val="center"/>
              <w:rPr>
                <w:b/>
                <w:bCs/>
                <w:color w:val="000000"/>
              </w:rPr>
            </w:pPr>
            <w:r w:rsidRPr="003B4314">
              <w:rPr>
                <w:b/>
                <w:bCs/>
                <w:color w:val="000000"/>
              </w:rPr>
              <w:t>2</w:t>
            </w:r>
          </w:p>
        </w:tc>
        <w:tc>
          <w:tcPr>
            <w:tcW w:w="720" w:type="dxa"/>
            <w:tcBorders>
              <w:top w:val="nil"/>
              <w:left w:val="nil"/>
              <w:bottom w:val="single" w:sz="4" w:space="0" w:color="auto"/>
              <w:right w:val="single" w:sz="4" w:space="0" w:color="auto"/>
            </w:tcBorders>
            <w:shd w:val="clear" w:color="auto" w:fill="auto"/>
            <w:noWrap/>
            <w:vAlign w:val="center"/>
            <w:hideMark/>
          </w:tcPr>
          <w:p w14:paraId="7ECA3862" w14:textId="77777777" w:rsidR="002B5C43" w:rsidRPr="003B4314" w:rsidRDefault="002B5C43" w:rsidP="009B202E">
            <w:pPr>
              <w:suppressLineNumbers/>
              <w:spacing w:after="120"/>
              <w:jc w:val="center"/>
              <w:rPr>
                <w:color w:val="000000"/>
              </w:rPr>
            </w:pPr>
            <w:r w:rsidRPr="003B4314">
              <w:rPr>
                <w:color w:val="000000"/>
              </w:rPr>
              <w:t>2</w:t>
            </w:r>
          </w:p>
        </w:tc>
        <w:tc>
          <w:tcPr>
            <w:tcW w:w="720" w:type="dxa"/>
            <w:tcBorders>
              <w:top w:val="nil"/>
              <w:left w:val="nil"/>
              <w:bottom w:val="single" w:sz="4" w:space="0" w:color="auto"/>
              <w:right w:val="single" w:sz="4" w:space="0" w:color="auto"/>
            </w:tcBorders>
            <w:shd w:val="clear" w:color="auto" w:fill="auto"/>
            <w:noWrap/>
            <w:vAlign w:val="center"/>
            <w:hideMark/>
          </w:tcPr>
          <w:p w14:paraId="2EE2087B" w14:textId="77777777" w:rsidR="002B5C43" w:rsidRPr="003B4314" w:rsidRDefault="002B5C43" w:rsidP="009B202E">
            <w:pPr>
              <w:suppressLineNumbers/>
              <w:spacing w:after="120"/>
              <w:jc w:val="center"/>
              <w:rPr>
                <w:color w:val="000000"/>
              </w:rPr>
            </w:pPr>
            <w:r w:rsidRPr="003B4314">
              <w:rPr>
                <w:color w:val="000000"/>
              </w:rPr>
              <w:t>4</w:t>
            </w:r>
          </w:p>
        </w:tc>
        <w:tc>
          <w:tcPr>
            <w:tcW w:w="720" w:type="dxa"/>
            <w:tcBorders>
              <w:top w:val="nil"/>
              <w:left w:val="nil"/>
              <w:bottom w:val="single" w:sz="4" w:space="0" w:color="auto"/>
              <w:right w:val="single" w:sz="4" w:space="0" w:color="auto"/>
            </w:tcBorders>
            <w:shd w:val="clear" w:color="auto" w:fill="auto"/>
            <w:noWrap/>
            <w:vAlign w:val="center"/>
            <w:hideMark/>
          </w:tcPr>
          <w:p w14:paraId="306C1A58" w14:textId="77777777" w:rsidR="002B5C43" w:rsidRPr="003B4314" w:rsidRDefault="002B5C43" w:rsidP="009B202E">
            <w:pPr>
              <w:suppressLineNumbers/>
              <w:spacing w:after="120"/>
              <w:jc w:val="center"/>
              <w:rPr>
                <w:color w:val="000000"/>
              </w:rPr>
            </w:pPr>
            <w:r w:rsidRPr="003B4314">
              <w:rPr>
                <w:color w:val="000000"/>
              </w:rPr>
              <w:t>6</w:t>
            </w:r>
          </w:p>
        </w:tc>
        <w:tc>
          <w:tcPr>
            <w:tcW w:w="720" w:type="dxa"/>
            <w:tcBorders>
              <w:top w:val="nil"/>
              <w:left w:val="nil"/>
              <w:bottom w:val="single" w:sz="4" w:space="0" w:color="auto"/>
              <w:right w:val="single" w:sz="4" w:space="0" w:color="auto"/>
            </w:tcBorders>
            <w:shd w:val="clear" w:color="auto" w:fill="auto"/>
            <w:noWrap/>
            <w:vAlign w:val="center"/>
            <w:hideMark/>
          </w:tcPr>
          <w:p w14:paraId="3E3B7CA2" w14:textId="77777777" w:rsidR="002B5C43" w:rsidRPr="003B4314" w:rsidRDefault="002B5C43" w:rsidP="009B202E">
            <w:pPr>
              <w:suppressLineNumbers/>
              <w:spacing w:after="120"/>
              <w:jc w:val="center"/>
              <w:rPr>
                <w:color w:val="000000"/>
              </w:rPr>
            </w:pPr>
            <w:r w:rsidRPr="003B4314">
              <w:rPr>
                <w:color w:val="000000"/>
              </w:rPr>
              <w:t>8</w:t>
            </w:r>
          </w:p>
        </w:tc>
        <w:tc>
          <w:tcPr>
            <w:tcW w:w="720" w:type="dxa"/>
            <w:tcBorders>
              <w:top w:val="nil"/>
              <w:left w:val="nil"/>
              <w:bottom w:val="single" w:sz="4" w:space="0" w:color="auto"/>
              <w:right w:val="single" w:sz="4" w:space="0" w:color="auto"/>
            </w:tcBorders>
            <w:shd w:val="clear" w:color="auto" w:fill="auto"/>
            <w:noWrap/>
            <w:vAlign w:val="center"/>
            <w:hideMark/>
          </w:tcPr>
          <w:p w14:paraId="0B292474" w14:textId="77777777" w:rsidR="002B5C43" w:rsidRPr="003B4314" w:rsidRDefault="002B5C43" w:rsidP="009B202E">
            <w:pPr>
              <w:suppressLineNumbers/>
              <w:spacing w:after="120"/>
              <w:jc w:val="center"/>
              <w:rPr>
                <w:color w:val="000000"/>
              </w:rPr>
            </w:pPr>
            <w:r w:rsidRPr="003B4314">
              <w:rPr>
                <w:color w:val="000000"/>
              </w:rPr>
              <w:t>10</w:t>
            </w:r>
          </w:p>
        </w:tc>
      </w:tr>
      <w:tr w:rsidR="002B5C43" w:rsidRPr="003B4314" w14:paraId="0E988A62" w14:textId="77777777" w:rsidTr="004B6BFD">
        <w:trPr>
          <w:trHeight w:val="420"/>
          <w:jc w:val="center"/>
        </w:trPr>
        <w:tc>
          <w:tcPr>
            <w:tcW w:w="634" w:type="dxa"/>
            <w:vMerge/>
            <w:tcBorders>
              <w:top w:val="nil"/>
              <w:left w:val="nil"/>
              <w:bottom w:val="nil"/>
              <w:right w:val="single" w:sz="4" w:space="0" w:color="auto"/>
            </w:tcBorders>
            <w:vAlign w:val="center"/>
            <w:hideMark/>
          </w:tcPr>
          <w:p w14:paraId="69F4D0DF" w14:textId="77777777" w:rsidR="002B5C43" w:rsidRPr="003B4314" w:rsidRDefault="002B5C43" w:rsidP="009B202E">
            <w:pPr>
              <w:suppressLineNumbers/>
              <w:spacing w:after="120"/>
              <w:jc w:val="left"/>
              <w:rPr>
                <w:color w:val="000000"/>
              </w:rPr>
            </w:pPr>
          </w:p>
        </w:tc>
        <w:tc>
          <w:tcPr>
            <w:tcW w:w="768" w:type="dxa"/>
            <w:tcBorders>
              <w:top w:val="nil"/>
              <w:left w:val="nil"/>
              <w:bottom w:val="single" w:sz="4" w:space="0" w:color="auto"/>
              <w:right w:val="single" w:sz="4" w:space="0" w:color="auto"/>
            </w:tcBorders>
            <w:shd w:val="clear" w:color="000000" w:fill="BFBFBF"/>
            <w:noWrap/>
            <w:vAlign w:val="center"/>
            <w:hideMark/>
          </w:tcPr>
          <w:p w14:paraId="6FFDECC0" w14:textId="77777777" w:rsidR="002B5C43" w:rsidRPr="003B4314" w:rsidRDefault="002B5C43" w:rsidP="009B202E">
            <w:pPr>
              <w:suppressLineNumbers/>
              <w:spacing w:after="120"/>
              <w:jc w:val="center"/>
              <w:rPr>
                <w:b/>
                <w:bCs/>
                <w:color w:val="000000"/>
              </w:rPr>
            </w:pPr>
            <w:r w:rsidRPr="003B4314">
              <w:rPr>
                <w:b/>
                <w:bCs/>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14:paraId="7B70779C" w14:textId="77777777" w:rsidR="002B5C43" w:rsidRPr="003B4314" w:rsidRDefault="002B5C43" w:rsidP="009B202E">
            <w:pPr>
              <w:suppressLineNumbers/>
              <w:spacing w:after="120"/>
              <w:jc w:val="center"/>
              <w:rPr>
                <w:color w:val="000000"/>
              </w:rPr>
            </w:pPr>
            <w:r w:rsidRPr="003B4314">
              <w:rPr>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14:paraId="24A9913D" w14:textId="77777777" w:rsidR="002B5C43" w:rsidRPr="003B4314" w:rsidRDefault="002B5C43" w:rsidP="009B202E">
            <w:pPr>
              <w:suppressLineNumbers/>
              <w:spacing w:after="120"/>
              <w:jc w:val="center"/>
              <w:rPr>
                <w:color w:val="000000"/>
              </w:rPr>
            </w:pPr>
            <w:r w:rsidRPr="003B4314">
              <w:rPr>
                <w:color w:val="000000"/>
              </w:rPr>
              <w:t>2</w:t>
            </w:r>
          </w:p>
        </w:tc>
        <w:tc>
          <w:tcPr>
            <w:tcW w:w="720" w:type="dxa"/>
            <w:tcBorders>
              <w:top w:val="nil"/>
              <w:left w:val="nil"/>
              <w:bottom w:val="single" w:sz="4" w:space="0" w:color="auto"/>
              <w:right w:val="single" w:sz="4" w:space="0" w:color="auto"/>
            </w:tcBorders>
            <w:shd w:val="clear" w:color="auto" w:fill="auto"/>
            <w:noWrap/>
            <w:vAlign w:val="center"/>
            <w:hideMark/>
          </w:tcPr>
          <w:p w14:paraId="1835847D" w14:textId="77777777" w:rsidR="002B5C43" w:rsidRPr="003B4314" w:rsidRDefault="002B5C43" w:rsidP="009B202E">
            <w:pPr>
              <w:suppressLineNumbers/>
              <w:spacing w:after="120"/>
              <w:jc w:val="center"/>
              <w:rPr>
                <w:color w:val="000000"/>
              </w:rPr>
            </w:pPr>
            <w:r w:rsidRPr="003B4314">
              <w:rPr>
                <w:color w:val="000000"/>
              </w:rPr>
              <w:t>3</w:t>
            </w:r>
          </w:p>
        </w:tc>
        <w:tc>
          <w:tcPr>
            <w:tcW w:w="720" w:type="dxa"/>
            <w:tcBorders>
              <w:top w:val="nil"/>
              <w:left w:val="nil"/>
              <w:bottom w:val="single" w:sz="4" w:space="0" w:color="auto"/>
              <w:right w:val="single" w:sz="4" w:space="0" w:color="auto"/>
            </w:tcBorders>
            <w:shd w:val="clear" w:color="auto" w:fill="auto"/>
            <w:noWrap/>
            <w:vAlign w:val="center"/>
            <w:hideMark/>
          </w:tcPr>
          <w:p w14:paraId="58287325" w14:textId="77777777" w:rsidR="002B5C43" w:rsidRPr="003B4314" w:rsidRDefault="002B5C43" w:rsidP="009B202E">
            <w:pPr>
              <w:suppressLineNumbers/>
              <w:spacing w:after="120"/>
              <w:jc w:val="center"/>
              <w:rPr>
                <w:color w:val="000000"/>
              </w:rPr>
            </w:pPr>
            <w:r w:rsidRPr="003B4314">
              <w:rPr>
                <w:color w:val="000000"/>
              </w:rPr>
              <w:t>4</w:t>
            </w:r>
          </w:p>
        </w:tc>
        <w:tc>
          <w:tcPr>
            <w:tcW w:w="720" w:type="dxa"/>
            <w:tcBorders>
              <w:top w:val="nil"/>
              <w:left w:val="nil"/>
              <w:bottom w:val="single" w:sz="4" w:space="0" w:color="auto"/>
              <w:right w:val="single" w:sz="4" w:space="0" w:color="auto"/>
            </w:tcBorders>
            <w:shd w:val="clear" w:color="auto" w:fill="auto"/>
            <w:noWrap/>
            <w:vAlign w:val="center"/>
            <w:hideMark/>
          </w:tcPr>
          <w:p w14:paraId="22D63413" w14:textId="77777777" w:rsidR="002B5C43" w:rsidRPr="003B4314" w:rsidRDefault="002B5C43" w:rsidP="009B202E">
            <w:pPr>
              <w:suppressLineNumbers/>
              <w:spacing w:after="120"/>
              <w:jc w:val="center"/>
              <w:rPr>
                <w:color w:val="000000"/>
              </w:rPr>
            </w:pPr>
            <w:r w:rsidRPr="003B4314">
              <w:rPr>
                <w:color w:val="000000"/>
              </w:rPr>
              <w:t>5</w:t>
            </w:r>
          </w:p>
        </w:tc>
      </w:tr>
      <w:tr w:rsidR="002B5C43" w:rsidRPr="003B4314" w14:paraId="115FC55A" w14:textId="77777777" w:rsidTr="004B6BFD">
        <w:trPr>
          <w:trHeight w:val="420"/>
          <w:jc w:val="center"/>
        </w:trPr>
        <w:tc>
          <w:tcPr>
            <w:tcW w:w="634" w:type="dxa"/>
            <w:tcBorders>
              <w:top w:val="nil"/>
              <w:left w:val="nil"/>
              <w:bottom w:val="nil"/>
              <w:right w:val="nil"/>
            </w:tcBorders>
            <w:shd w:val="clear" w:color="auto" w:fill="auto"/>
            <w:noWrap/>
            <w:vAlign w:val="bottom"/>
            <w:hideMark/>
          </w:tcPr>
          <w:p w14:paraId="0D017E0A" w14:textId="77777777" w:rsidR="002B5C43" w:rsidRPr="003B4314" w:rsidRDefault="002B5C43" w:rsidP="009B202E">
            <w:pPr>
              <w:suppressLineNumbers/>
              <w:spacing w:after="120"/>
              <w:jc w:val="left"/>
              <w:rPr>
                <w:color w:val="000000"/>
              </w:rPr>
            </w:pPr>
          </w:p>
        </w:tc>
        <w:tc>
          <w:tcPr>
            <w:tcW w:w="768" w:type="dxa"/>
            <w:tcBorders>
              <w:top w:val="nil"/>
              <w:left w:val="single" w:sz="4" w:space="0" w:color="auto"/>
              <w:bottom w:val="single" w:sz="4" w:space="0" w:color="auto"/>
              <w:right w:val="single" w:sz="4" w:space="0" w:color="auto"/>
            </w:tcBorders>
            <w:shd w:val="clear" w:color="000000" w:fill="BFBFBF"/>
            <w:noWrap/>
            <w:vAlign w:val="center"/>
            <w:hideMark/>
          </w:tcPr>
          <w:p w14:paraId="0D4CEE19" w14:textId="77777777" w:rsidR="002B5C43" w:rsidRPr="003B4314" w:rsidRDefault="002B5C43" w:rsidP="009B202E">
            <w:pPr>
              <w:suppressLineNumbers/>
              <w:spacing w:after="120"/>
              <w:jc w:val="center"/>
              <w:rPr>
                <w:b/>
                <w:bCs/>
                <w:color w:val="000000"/>
              </w:rPr>
            </w:pPr>
            <w:r w:rsidRPr="003B4314">
              <w:rPr>
                <w:b/>
                <w:bCs/>
                <w:color w:val="000000"/>
              </w:rPr>
              <w:t> </w:t>
            </w:r>
          </w:p>
        </w:tc>
        <w:tc>
          <w:tcPr>
            <w:tcW w:w="720" w:type="dxa"/>
            <w:tcBorders>
              <w:top w:val="nil"/>
              <w:left w:val="nil"/>
              <w:bottom w:val="single" w:sz="4" w:space="0" w:color="auto"/>
              <w:right w:val="single" w:sz="4" w:space="0" w:color="auto"/>
            </w:tcBorders>
            <w:shd w:val="clear" w:color="000000" w:fill="BFBFBF"/>
            <w:noWrap/>
            <w:vAlign w:val="center"/>
            <w:hideMark/>
          </w:tcPr>
          <w:p w14:paraId="5B56EBDA" w14:textId="77777777" w:rsidR="002B5C43" w:rsidRPr="003B4314" w:rsidRDefault="002B5C43" w:rsidP="009B202E">
            <w:pPr>
              <w:suppressLineNumbers/>
              <w:spacing w:after="120"/>
              <w:jc w:val="center"/>
              <w:rPr>
                <w:b/>
                <w:bCs/>
                <w:color w:val="000000"/>
              </w:rPr>
            </w:pPr>
            <w:r w:rsidRPr="003B4314">
              <w:rPr>
                <w:b/>
                <w:bCs/>
                <w:color w:val="000000"/>
              </w:rPr>
              <w:t>1</w:t>
            </w:r>
          </w:p>
        </w:tc>
        <w:tc>
          <w:tcPr>
            <w:tcW w:w="720" w:type="dxa"/>
            <w:tcBorders>
              <w:top w:val="nil"/>
              <w:left w:val="nil"/>
              <w:bottom w:val="single" w:sz="4" w:space="0" w:color="auto"/>
              <w:right w:val="single" w:sz="4" w:space="0" w:color="auto"/>
            </w:tcBorders>
            <w:shd w:val="clear" w:color="000000" w:fill="BFBFBF"/>
            <w:noWrap/>
            <w:vAlign w:val="center"/>
            <w:hideMark/>
          </w:tcPr>
          <w:p w14:paraId="30A301EF" w14:textId="77777777" w:rsidR="002B5C43" w:rsidRPr="003B4314" w:rsidRDefault="002B5C43" w:rsidP="009B202E">
            <w:pPr>
              <w:suppressLineNumbers/>
              <w:spacing w:after="120"/>
              <w:jc w:val="center"/>
              <w:rPr>
                <w:b/>
                <w:bCs/>
                <w:color w:val="000000"/>
              </w:rPr>
            </w:pPr>
            <w:r w:rsidRPr="003B4314">
              <w:rPr>
                <w:b/>
                <w:bCs/>
                <w:color w:val="000000"/>
              </w:rPr>
              <w:t>2</w:t>
            </w:r>
          </w:p>
        </w:tc>
        <w:tc>
          <w:tcPr>
            <w:tcW w:w="720" w:type="dxa"/>
            <w:tcBorders>
              <w:top w:val="nil"/>
              <w:left w:val="nil"/>
              <w:bottom w:val="single" w:sz="4" w:space="0" w:color="auto"/>
              <w:right w:val="single" w:sz="4" w:space="0" w:color="auto"/>
            </w:tcBorders>
            <w:shd w:val="clear" w:color="000000" w:fill="BFBFBF"/>
            <w:noWrap/>
            <w:vAlign w:val="center"/>
            <w:hideMark/>
          </w:tcPr>
          <w:p w14:paraId="788DEB56" w14:textId="77777777" w:rsidR="002B5C43" w:rsidRPr="003B4314" w:rsidRDefault="002B5C43" w:rsidP="009B202E">
            <w:pPr>
              <w:suppressLineNumbers/>
              <w:spacing w:after="120"/>
              <w:jc w:val="center"/>
              <w:rPr>
                <w:b/>
                <w:bCs/>
                <w:color w:val="000000"/>
              </w:rPr>
            </w:pPr>
            <w:r w:rsidRPr="003B4314">
              <w:rPr>
                <w:b/>
                <w:bCs/>
                <w:color w:val="000000"/>
              </w:rPr>
              <w:t>3</w:t>
            </w:r>
          </w:p>
        </w:tc>
        <w:tc>
          <w:tcPr>
            <w:tcW w:w="720" w:type="dxa"/>
            <w:tcBorders>
              <w:top w:val="nil"/>
              <w:left w:val="nil"/>
              <w:bottom w:val="single" w:sz="4" w:space="0" w:color="auto"/>
              <w:right w:val="single" w:sz="4" w:space="0" w:color="auto"/>
            </w:tcBorders>
            <w:shd w:val="clear" w:color="000000" w:fill="BFBFBF"/>
            <w:noWrap/>
            <w:vAlign w:val="center"/>
            <w:hideMark/>
          </w:tcPr>
          <w:p w14:paraId="778A4750" w14:textId="77777777" w:rsidR="002B5C43" w:rsidRPr="003B4314" w:rsidRDefault="002B5C43" w:rsidP="009B202E">
            <w:pPr>
              <w:suppressLineNumbers/>
              <w:spacing w:after="120"/>
              <w:jc w:val="center"/>
              <w:rPr>
                <w:b/>
                <w:bCs/>
                <w:color w:val="000000"/>
              </w:rPr>
            </w:pPr>
            <w:r w:rsidRPr="003B4314">
              <w:rPr>
                <w:b/>
                <w:bCs/>
                <w:color w:val="000000"/>
              </w:rPr>
              <w:t>4</w:t>
            </w:r>
          </w:p>
        </w:tc>
        <w:tc>
          <w:tcPr>
            <w:tcW w:w="720" w:type="dxa"/>
            <w:tcBorders>
              <w:top w:val="nil"/>
              <w:left w:val="nil"/>
              <w:bottom w:val="single" w:sz="4" w:space="0" w:color="auto"/>
              <w:right w:val="single" w:sz="4" w:space="0" w:color="auto"/>
            </w:tcBorders>
            <w:shd w:val="clear" w:color="000000" w:fill="BFBFBF"/>
            <w:noWrap/>
            <w:vAlign w:val="center"/>
            <w:hideMark/>
          </w:tcPr>
          <w:p w14:paraId="0EDEB8AF" w14:textId="77777777" w:rsidR="002B5C43" w:rsidRPr="003B4314" w:rsidRDefault="002B5C43" w:rsidP="009B202E">
            <w:pPr>
              <w:suppressLineNumbers/>
              <w:spacing w:after="120"/>
              <w:jc w:val="center"/>
              <w:rPr>
                <w:b/>
                <w:bCs/>
                <w:color w:val="000000"/>
              </w:rPr>
            </w:pPr>
            <w:r w:rsidRPr="003B4314">
              <w:rPr>
                <w:b/>
                <w:bCs/>
                <w:color w:val="000000"/>
              </w:rPr>
              <w:t>5</w:t>
            </w:r>
          </w:p>
        </w:tc>
      </w:tr>
      <w:tr w:rsidR="002B5C43" w:rsidRPr="003B4314" w14:paraId="526FC6C9" w14:textId="77777777" w:rsidTr="004B6BFD">
        <w:trPr>
          <w:trHeight w:val="420"/>
          <w:jc w:val="center"/>
        </w:trPr>
        <w:tc>
          <w:tcPr>
            <w:tcW w:w="634" w:type="dxa"/>
            <w:tcBorders>
              <w:top w:val="nil"/>
              <w:left w:val="nil"/>
              <w:bottom w:val="nil"/>
              <w:right w:val="nil"/>
            </w:tcBorders>
            <w:shd w:val="clear" w:color="auto" w:fill="auto"/>
            <w:noWrap/>
            <w:vAlign w:val="bottom"/>
            <w:hideMark/>
          </w:tcPr>
          <w:p w14:paraId="2222D4E1" w14:textId="77777777" w:rsidR="002B5C43" w:rsidRPr="003B4314" w:rsidRDefault="002B5C43" w:rsidP="009B202E">
            <w:pPr>
              <w:suppressLineNumbers/>
              <w:spacing w:after="120"/>
              <w:jc w:val="left"/>
              <w:rPr>
                <w:color w:val="000000"/>
              </w:rPr>
            </w:pPr>
          </w:p>
        </w:tc>
        <w:tc>
          <w:tcPr>
            <w:tcW w:w="768" w:type="dxa"/>
            <w:tcBorders>
              <w:top w:val="nil"/>
              <w:left w:val="nil"/>
              <w:bottom w:val="nil"/>
              <w:right w:val="nil"/>
            </w:tcBorders>
            <w:shd w:val="clear" w:color="auto" w:fill="auto"/>
            <w:noWrap/>
            <w:vAlign w:val="bottom"/>
            <w:hideMark/>
          </w:tcPr>
          <w:p w14:paraId="2D4D84A5" w14:textId="77777777" w:rsidR="002B5C43" w:rsidRPr="003B4314" w:rsidRDefault="002B5C43" w:rsidP="009B202E">
            <w:pPr>
              <w:suppressLineNumbers/>
              <w:spacing w:after="120"/>
              <w:jc w:val="left"/>
              <w:rPr>
                <w:color w:val="000000"/>
              </w:rPr>
            </w:pPr>
          </w:p>
        </w:tc>
        <w:tc>
          <w:tcPr>
            <w:tcW w:w="3600" w:type="dxa"/>
            <w:gridSpan w:val="5"/>
            <w:tcBorders>
              <w:top w:val="single" w:sz="4" w:space="0" w:color="auto"/>
              <w:left w:val="nil"/>
              <w:bottom w:val="nil"/>
              <w:right w:val="nil"/>
            </w:tcBorders>
            <w:shd w:val="clear" w:color="auto" w:fill="auto"/>
            <w:noWrap/>
            <w:vAlign w:val="center"/>
            <w:hideMark/>
          </w:tcPr>
          <w:p w14:paraId="11E67DAB" w14:textId="77777777" w:rsidR="002B5C43" w:rsidRPr="003B4314" w:rsidRDefault="002B5C43" w:rsidP="009B202E">
            <w:pPr>
              <w:suppressLineNumbers/>
              <w:spacing w:after="120"/>
              <w:jc w:val="center"/>
              <w:rPr>
                <w:color w:val="000000"/>
              </w:rPr>
            </w:pPr>
            <w:r w:rsidRPr="003B4314">
              <w:rPr>
                <w:color w:val="000000"/>
              </w:rPr>
              <w:t>PRAVDĚPODOBNOST VÝSKYTU RIZIKA</w:t>
            </w:r>
          </w:p>
        </w:tc>
      </w:tr>
    </w:tbl>
    <w:tbl>
      <w:tblPr>
        <w:tblStyle w:val="Mkatabulky"/>
        <w:tblpPr w:leftFromText="141" w:rightFromText="141" w:vertAnchor="text" w:horzAnchor="page" w:tblpX="7933" w:tblpY="-2823"/>
        <w:tblW w:w="0" w:type="auto"/>
        <w:tblLook w:val="04A0" w:firstRow="1" w:lastRow="0" w:firstColumn="1" w:lastColumn="0" w:noHBand="0" w:noVBand="1"/>
      </w:tblPr>
      <w:tblGrid>
        <w:gridCol w:w="2116"/>
      </w:tblGrid>
      <w:tr w:rsidR="00D139DE" w:rsidRPr="003B4314" w14:paraId="565BD722" w14:textId="77777777" w:rsidTr="00240A1B">
        <w:trPr>
          <w:trHeight w:val="356"/>
        </w:trPr>
        <w:tc>
          <w:tcPr>
            <w:tcW w:w="2116" w:type="dxa"/>
            <w:vAlign w:val="center"/>
          </w:tcPr>
          <w:p w14:paraId="2529F9AB" w14:textId="77777777" w:rsidR="00D139DE" w:rsidRPr="003B4314" w:rsidRDefault="00240A1B" w:rsidP="009B202E">
            <w:pPr>
              <w:suppressLineNumbers/>
              <w:spacing w:after="120"/>
              <w:jc w:val="center"/>
              <w:rPr>
                <w:rFonts w:eastAsia="Calibri"/>
              </w:rPr>
            </w:pPr>
            <w:r w:rsidRPr="003B4314">
              <w:rPr>
                <w:color w:val="000000"/>
              </w:rPr>
              <w:t>VÝZNAM RIZIKA</w:t>
            </w:r>
          </w:p>
        </w:tc>
      </w:tr>
      <w:tr w:rsidR="00D139DE" w:rsidRPr="003B4314" w14:paraId="1F8140CB" w14:textId="77777777" w:rsidTr="00240A1B">
        <w:trPr>
          <w:trHeight w:val="204"/>
        </w:trPr>
        <w:tc>
          <w:tcPr>
            <w:tcW w:w="2116" w:type="dxa"/>
            <w:shd w:val="clear" w:color="auto" w:fill="FF0000"/>
            <w:vAlign w:val="center"/>
          </w:tcPr>
          <w:p w14:paraId="1C590E2B" w14:textId="77777777" w:rsidR="00D139DE" w:rsidRPr="003B4314" w:rsidRDefault="00240A1B" w:rsidP="009B202E">
            <w:pPr>
              <w:suppressLineNumbers/>
              <w:spacing w:after="120"/>
              <w:jc w:val="center"/>
              <w:rPr>
                <w:color w:val="000000"/>
                <w:highlight w:val="red"/>
              </w:rPr>
            </w:pPr>
            <w:r w:rsidRPr="003B4314">
              <w:rPr>
                <w:color w:val="000000"/>
              </w:rPr>
              <w:t>VYSOKÝ</w:t>
            </w:r>
          </w:p>
        </w:tc>
      </w:tr>
      <w:tr w:rsidR="00D139DE" w:rsidRPr="003B4314" w14:paraId="4C7BD831" w14:textId="77777777" w:rsidTr="00240A1B">
        <w:trPr>
          <w:trHeight w:val="356"/>
        </w:trPr>
        <w:tc>
          <w:tcPr>
            <w:tcW w:w="2116" w:type="dxa"/>
            <w:shd w:val="clear" w:color="auto" w:fill="FFC000"/>
            <w:vAlign w:val="center"/>
          </w:tcPr>
          <w:p w14:paraId="3C9F75ED" w14:textId="77777777" w:rsidR="00D139DE" w:rsidRPr="003B4314" w:rsidRDefault="00240A1B" w:rsidP="009B202E">
            <w:pPr>
              <w:suppressLineNumbers/>
              <w:spacing w:after="120"/>
              <w:jc w:val="center"/>
              <w:rPr>
                <w:rFonts w:eastAsia="Calibri"/>
              </w:rPr>
            </w:pPr>
            <w:r w:rsidRPr="003B4314">
              <w:rPr>
                <w:color w:val="000000"/>
              </w:rPr>
              <w:t>STŘEDNÍ</w:t>
            </w:r>
          </w:p>
        </w:tc>
      </w:tr>
      <w:tr w:rsidR="00D139DE" w:rsidRPr="003B4314" w14:paraId="16FC8D28" w14:textId="77777777" w:rsidTr="00240A1B">
        <w:trPr>
          <w:trHeight w:val="268"/>
        </w:trPr>
        <w:tc>
          <w:tcPr>
            <w:tcW w:w="2116" w:type="dxa"/>
            <w:vAlign w:val="center"/>
          </w:tcPr>
          <w:p w14:paraId="4621BA80" w14:textId="77777777" w:rsidR="00D139DE" w:rsidRPr="003B4314" w:rsidRDefault="00240A1B" w:rsidP="009B202E">
            <w:pPr>
              <w:suppressLineNumbers/>
              <w:spacing w:after="120"/>
              <w:jc w:val="center"/>
              <w:rPr>
                <w:rFonts w:eastAsia="Calibri"/>
              </w:rPr>
            </w:pPr>
            <w:r w:rsidRPr="003B4314">
              <w:rPr>
                <w:color w:val="000000"/>
              </w:rPr>
              <w:t>NÍZKÝ</w:t>
            </w:r>
          </w:p>
        </w:tc>
      </w:tr>
    </w:tbl>
    <w:p w14:paraId="71BFE409" w14:textId="60656E5B" w:rsidR="00D139DE" w:rsidRPr="0075505C" w:rsidRDefault="0075505C" w:rsidP="0075505C">
      <w:pPr>
        <w:pStyle w:val="Titulek"/>
      </w:pPr>
      <w:r w:rsidRPr="0075505C">
        <w:t xml:space="preserve">Tabulka </w:t>
      </w:r>
      <w:fldSimple w:instr=" SEQ Tabulka \* ARABIC ">
        <w:r w:rsidRPr="0075505C">
          <w:rPr>
            <w:noProof/>
          </w:rPr>
          <w:t>3</w:t>
        </w:r>
      </w:fldSimple>
      <w:r w:rsidRPr="0075505C">
        <w:t>: Matice hodnocení rizik</w:t>
      </w:r>
    </w:p>
    <w:p w14:paraId="699C296C" w14:textId="77777777" w:rsidR="002B5C43" w:rsidRPr="003B4314" w:rsidRDefault="002B5C43" w:rsidP="009B202E">
      <w:pPr>
        <w:suppressLineNumbers/>
        <w:spacing w:after="120"/>
        <w:rPr>
          <w:rFonts w:eastAsia="Calibri"/>
        </w:rPr>
      </w:pPr>
    </w:p>
    <w:tbl>
      <w:tblPr>
        <w:tblStyle w:val="Stednstnovn1"/>
        <w:tblW w:w="9288" w:type="dxa"/>
        <w:tblLayout w:type="fixed"/>
        <w:tblLook w:val="04A0" w:firstRow="1" w:lastRow="0" w:firstColumn="1" w:lastColumn="0" w:noHBand="0" w:noVBand="1"/>
      </w:tblPr>
      <w:tblGrid>
        <w:gridCol w:w="1676"/>
        <w:gridCol w:w="299"/>
        <w:gridCol w:w="283"/>
        <w:gridCol w:w="851"/>
        <w:gridCol w:w="2669"/>
        <w:gridCol w:w="3510"/>
      </w:tblGrid>
      <w:tr w:rsidR="00CE72D6" w:rsidRPr="003B4314" w14:paraId="790E85A3" w14:textId="77777777" w:rsidTr="0075505C">
        <w:trPr>
          <w:cnfStyle w:val="100000000000" w:firstRow="1" w:lastRow="0" w:firstColumn="0" w:lastColumn="0" w:oddVBand="0" w:evenVBand="0" w:oddHBand="0" w:evenHBand="0" w:firstRowFirstColumn="0" w:firstRowLastColumn="0" w:lastRowFirstColumn="0" w:lastRowLastColumn="0"/>
          <w:trHeight w:val="946"/>
        </w:trPr>
        <w:tc>
          <w:tcPr>
            <w:cnfStyle w:val="001000000000" w:firstRow="0" w:lastRow="0" w:firstColumn="1" w:lastColumn="0" w:oddVBand="0" w:evenVBand="0" w:oddHBand="0" w:evenHBand="0" w:firstRowFirstColumn="0" w:firstRowLastColumn="0" w:lastRowFirstColumn="0" w:lastRowLastColumn="0"/>
            <w:tcW w:w="1676" w:type="dxa"/>
            <w:vAlign w:val="center"/>
          </w:tcPr>
          <w:p w14:paraId="26EE13B0" w14:textId="77777777" w:rsidR="002B5C43" w:rsidRPr="0075505C" w:rsidRDefault="002B5C43" w:rsidP="009B202E">
            <w:pPr>
              <w:suppressLineNumbers/>
              <w:spacing w:after="120"/>
              <w:jc w:val="center"/>
              <w:rPr>
                <w:rFonts w:eastAsia="Calibri" w:cs="Times New Roman"/>
                <w:sz w:val="16"/>
              </w:rPr>
            </w:pPr>
            <w:r w:rsidRPr="0075505C">
              <w:rPr>
                <w:rFonts w:eastAsia="Calibri" w:cs="Times New Roman"/>
                <w:sz w:val="20"/>
              </w:rPr>
              <w:t>Riziko</w:t>
            </w:r>
          </w:p>
        </w:tc>
        <w:tc>
          <w:tcPr>
            <w:tcW w:w="299" w:type="dxa"/>
            <w:textDirection w:val="btLr"/>
          </w:tcPr>
          <w:p w14:paraId="16761FA8" w14:textId="77777777" w:rsidR="002B5C43" w:rsidRPr="0075505C" w:rsidRDefault="002B5C43" w:rsidP="0075505C">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Pravděp.</w:t>
            </w:r>
          </w:p>
        </w:tc>
        <w:tc>
          <w:tcPr>
            <w:tcW w:w="283" w:type="dxa"/>
            <w:textDirection w:val="btLr"/>
          </w:tcPr>
          <w:p w14:paraId="4CA925E7" w14:textId="77777777" w:rsidR="002B5C43" w:rsidRPr="0075505C" w:rsidRDefault="002B5C43" w:rsidP="0075505C">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Dopad</w:t>
            </w:r>
          </w:p>
        </w:tc>
        <w:tc>
          <w:tcPr>
            <w:tcW w:w="851" w:type="dxa"/>
            <w:vAlign w:val="center"/>
          </w:tcPr>
          <w:p w14:paraId="101FFFC3"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8"/>
              </w:rPr>
              <w:t>Význam</w:t>
            </w:r>
          </w:p>
        </w:tc>
        <w:tc>
          <w:tcPr>
            <w:tcW w:w="2669" w:type="dxa"/>
            <w:vAlign w:val="center"/>
          </w:tcPr>
          <w:p w14:paraId="36A3A472"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rPr>
            </w:pPr>
            <w:r w:rsidRPr="0075505C">
              <w:rPr>
                <w:rFonts w:eastAsia="Calibri" w:cs="Times New Roman"/>
                <w:sz w:val="20"/>
              </w:rPr>
              <w:t>Popis</w:t>
            </w:r>
          </w:p>
        </w:tc>
        <w:tc>
          <w:tcPr>
            <w:tcW w:w="3510" w:type="dxa"/>
            <w:vAlign w:val="center"/>
          </w:tcPr>
          <w:p w14:paraId="3EE883A1"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rPr>
            </w:pPr>
            <w:r w:rsidRPr="0075505C">
              <w:rPr>
                <w:rFonts w:eastAsia="Calibri" w:cs="Times New Roman"/>
                <w:sz w:val="20"/>
              </w:rPr>
              <w:t>Opatření</w:t>
            </w:r>
          </w:p>
        </w:tc>
      </w:tr>
      <w:tr w:rsidR="00B22BBB" w:rsidRPr="003B4314" w14:paraId="5A2D8D28" w14:textId="77777777" w:rsidTr="00755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6" w:type="dxa"/>
            <w:vAlign w:val="center"/>
          </w:tcPr>
          <w:p w14:paraId="1F18B05A"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 xml:space="preserve">Nerespektování </w:t>
            </w:r>
            <w:r w:rsidRPr="003B4314">
              <w:rPr>
                <w:rFonts w:eastAsia="Calibri" w:cs="Times New Roman"/>
                <w:i/>
              </w:rPr>
              <w:t>MKBV2017+</w:t>
            </w:r>
            <w:r w:rsidRPr="003B4314">
              <w:rPr>
                <w:rFonts w:eastAsia="Calibri" w:cs="Times New Roman"/>
              </w:rPr>
              <w:t xml:space="preserve"> a jejích východisek (řada dalších dokumentů)</w:t>
            </w:r>
          </w:p>
        </w:tc>
        <w:tc>
          <w:tcPr>
            <w:tcW w:w="299" w:type="dxa"/>
          </w:tcPr>
          <w:p w14:paraId="113230A9"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4</w:t>
            </w:r>
          </w:p>
        </w:tc>
        <w:tc>
          <w:tcPr>
            <w:tcW w:w="283" w:type="dxa"/>
          </w:tcPr>
          <w:p w14:paraId="4D816D34"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4</w:t>
            </w:r>
          </w:p>
        </w:tc>
        <w:tc>
          <w:tcPr>
            <w:tcW w:w="851" w:type="dxa"/>
          </w:tcPr>
          <w:p w14:paraId="79474B5D"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vysoký</w:t>
            </w:r>
          </w:p>
        </w:tc>
        <w:tc>
          <w:tcPr>
            <w:tcW w:w="2669" w:type="dxa"/>
          </w:tcPr>
          <w:p w14:paraId="3F232912" w14:textId="77777777" w:rsidR="002B5C43" w:rsidRPr="003B4314" w:rsidRDefault="002B5C43"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Program vytváří s ostatními nástroji synergickou soustavu. Ne všechna témata jsou vhodná do všech programů. Souhra mezi tématy a cíli programu je nezbytnou součástí fungování celého systému. To předpokládá MKBV2017+, ale tradiční pohled na „priority“ nikoliv.</w:t>
            </w:r>
          </w:p>
        </w:tc>
        <w:tc>
          <w:tcPr>
            <w:tcW w:w="3510" w:type="dxa"/>
          </w:tcPr>
          <w:p w14:paraId="42EB5BCD" w14:textId="6EFACDD2" w:rsidR="002B5C43" w:rsidRPr="003B4314" w:rsidRDefault="002B5C43"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Priority MKBV2017+ představují široký konsensus uživatelské sféry. MKBV2017+ dále předpokládá implementaci podpůrných analytických procesů ve spolupráci s externími partnery. MKBV</w:t>
            </w:r>
            <w:r w:rsidR="00D10BE2">
              <w:t>2017+</w:t>
            </w:r>
            <w:r w:rsidRPr="003B4314">
              <w:t xml:space="preserve"> a na ní navazující produkce je tak jediným hodnověrným zdrojem priorit BV; MV bude aktivně sledovat vývoj v politice VaVaI a snažit se aktivně reprezentovat téma bezpečnosti a jeho specifik (tedy bude volit zcela opačný postup, než v případě AI strategie).</w:t>
            </w:r>
          </w:p>
        </w:tc>
      </w:tr>
      <w:tr w:rsidR="00CE72D6" w:rsidRPr="003B4314" w14:paraId="498D184E" w14:textId="77777777" w:rsidTr="007550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6" w:type="dxa"/>
            <w:vAlign w:val="center"/>
          </w:tcPr>
          <w:p w14:paraId="208D0E86" w14:textId="0F5B4C22" w:rsidR="00B22BBB" w:rsidRPr="003B4314" w:rsidRDefault="00B22BBB" w:rsidP="006A4221">
            <w:pPr>
              <w:suppressLineNumbers/>
              <w:spacing w:after="120"/>
              <w:jc w:val="center"/>
              <w:rPr>
                <w:rFonts w:eastAsia="Calibri" w:cs="Times New Roman"/>
              </w:rPr>
            </w:pPr>
            <w:r w:rsidRPr="003B4314">
              <w:rPr>
                <w:rFonts w:eastAsia="Calibri" w:cs="Times New Roman"/>
              </w:rPr>
              <w:t xml:space="preserve">Nezájem nebo neaktivita konečných uživatelů v projektech </w:t>
            </w:r>
          </w:p>
        </w:tc>
        <w:tc>
          <w:tcPr>
            <w:tcW w:w="299" w:type="dxa"/>
          </w:tcPr>
          <w:p w14:paraId="5E730019" w14:textId="77777777" w:rsidR="00B22BBB" w:rsidRPr="003B4314" w:rsidRDefault="00B22BBB"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2</w:t>
            </w:r>
          </w:p>
        </w:tc>
        <w:tc>
          <w:tcPr>
            <w:tcW w:w="283" w:type="dxa"/>
          </w:tcPr>
          <w:p w14:paraId="7CD79B9D" w14:textId="77777777" w:rsidR="00B22BBB" w:rsidRPr="003B4314" w:rsidRDefault="00B22BBB"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5</w:t>
            </w:r>
          </w:p>
        </w:tc>
        <w:tc>
          <w:tcPr>
            <w:tcW w:w="851" w:type="dxa"/>
          </w:tcPr>
          <w:p w14:paraId="7679E2BF" w14:textId="77777777" w:rsidR="00B22BBB" w:rsidRPr="003B4314" w:rsidRDefault="00B22BBB"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rPr>
                <w:rFonts w:eastAsia="Calibri" w:cs="Times New Roman"/>
              </w:rPr>
              <w:t>nízký</w:t>
            </w:r>
          </w:p>
        </w:tc>
        <w:tc>
          <w:tcPr>
            <w:tcW w:w="2669" w:type="dxa"/>
          </w:tcPr>
          <w:p w14:paraId="3CFCBE63" w14:textId="77777777" w:rsidR="00B22BBB" w:rsidRPr="003B4314" w:rsidRDefault="00B22BBB" w:rsidP="009B202E">
            <w:pPr>
              <w:suppressLineNumbers/>
              <w:spacing w:after="120"/>
              <w:cnfStyle w:val="000000010000" w:firstRow="0" w:lastRow="0" w:firstColumn="0" w:lastColumn="0" w:oddVBand="0" w:evenVBand="0" w:oddHBand="0" w:evenHBand="1" w:firstRowFirstColumn="0" w:firstRowLastColumn="0" w:lastRowFirstColumn="0" w:lastRowLastColumn="0"/>
            </w:pPr>
            <w:r w:rsidRPr="003B4314">
              <w:t xml:space="preserve">Program je striktně závislý na dlouhodobém zapojení konečných uživatelů. Jejich zapojení je nutné od schvalování po provoz projektů. </w:t>
            </w:r>
          </w:p>
        </w:tc>
        <w:tc>
          <w:tcPr>
            <w:tcW w:w="3510" w:type="dxa"/>
          </w:tcPr>
          <w:p w14:paraId="47209F53" w14:textId="77777777" w:rsidR="00B22BBB" w:rsidRPr="003B4314" w:rsidRDefault="00B22BBB"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Přes omezené kapacity konečných uživatelů existuje pozitivní motivace k podpoře projektů, které jsou zacíleny přímo na jejich potřeby, proto se předpokládá vyhlašování i konkrétních potřeb uživatelů.</w:t>
            </w:r>
          </w:p>
        </w:tc>
      </w:tr>
      <w:tr w:rsidR="00B22BBB" w:rsidRPr="003B4314" w14:paraId="600FEFD5" w14:textId="77777777" w:rsidTr="00755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6" w:type="dxa"/>
            <w:vAlign w:val="center"/>
          </w:tcPr>
          <w:p w14:paraId="44EA4A6B" w14:textId="77777777" w:rsidR="00B22BBB" w:rsidRPr="003B4314" w:rsidRDefault="00B22BBB" w:rsidP="009B202E">
            <w:pPr>
              <w:suppressLineNumbers/>
              <w:spacing w:after="120"/>
              <w:jc w:val="center"/>
              <w:rPr>
                <w:rFonts w:eastAsia="Calibri" w:cs="Times New Roman"/>
              </w:rPr>
            </w:pPr>
            <w:r w:rsidRPr="003B4314">
              <w:rPr>
                <w:rFonts w:eastAsia="Calibri" w:cs="Times New Roman"/>
              </w:rPr>
              <w:t xml:space="preserve">Nerespektování odbornosti poskytovatele při změnách </w:t>
            </w:r>
            <w:r w:rsidRPr="003B4314">
              <w:rPr>
                <w:rFonts w:eastAsia="Calibri" w:cs="Times New Roman"/>
                <w:i/>
              </w:rPr>
              <w:t>Národních priorit</w:t>
            </w:r>
            <w:r w:rsidRPr="003B4314">
              <w:rPr>
                <w:rFonts w:eastAsia="Calibri" w:cs="Times New Roman"/>
              </w:rPr>
              <w:t xml:space="preserve"> a obdobných dokumentů</w:t>
            </w:r>
          </w:p>
        </w:tc>
        <w:tc>
          <w:tcPr>
            <w:tcW w:w="299" w:type="dxa"/>
          </w:tcPr>
          <w:p w14:paraId="6B35BBCB" w14:textId="77777777" w:rsidR="00B22BBB" w:rsidRPr="003B4314" w:rsidRDefault="00B22BBB"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3</w:t>
            </w:r>
          </w:p>
        </w:tc>
        <w:tc>
          <w:tcPr>
            <w:tcW w:w="283" w:type="dxa"/>
          </w:tcPr>
          <w:p w14:paraId="07723B2F" w14:textId="77777777" w:rsidR="00B22BBB" w:rsidRPr="003B4314" w:rsidRDefault="00B22BBB"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4</w:t>
            </w:r>
          </w:p>
        </w:tc>
        <w:tc>
          <w:tcPr>
            <w:tcW w:w="851" w:type="dxa"/>
          </w:tcPr>
          <w:p w14:paraId="445524DC" w14:textId="77777777" w:rsidR="00B22BBB" w:rsidRPr="003B4314" w:rsidRDefault="00B22BBB"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střední</w:t>
            </w:r>
          </w:p>
        </w:tc>
        <w:tc>
          <w:tcPr>
            <w:tcW w:w="2669" w:type="dxa"/>
          </w:tcPr>
          <w:p w14:paraId="1173DAE6" w14:textId="77777777" w:rsidR="00B22BBB"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Program směřuje k plnění prioritních témat MKBV2017+. Ta shrnují veškerý dostupný materiál bezpečnostní politiky. Pro vědní politiku musí být MKBV2017+ východiskem. Ex post změny a vynucování jiného obsahu učiní program rychle irelevantním.</w:t>
            </w:r>
          </w:p>
        </w:tc>
        <w:tc>
          <w:tcPr>
            <w:tcW w:w="3510" w:type="dxa"/>
          </w:tcPr>
          <w:p w14:paraId="24A16E44" w14:textId="7EE8477B" w:rsidR="00B22BBB"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V případě, že vývoj politiky VaV</w:t>
            </w:r>
            <w:r w:rsidR="001C72C8">
              <w:t>aI učiní P</w:t>
            </w:r>
            <w:r w:rsidRPr="003B4314">
              <w:t>rogram irelevantním, bude ukončen nebo přepracován.</w:t>
            </w:r>
          </w:p>
        </w:tc>
      </w:tr>
    </w:tbl>
    <w:p w14:paraId="5E70A302" w14:textId="10152206" w:rsidR="00782DF5" w:rsidRPr="0075505C" w:rsidRDefault="0075505C" w:rsidP="009B202E">
      <w:pPr>
        <w:pStyle w:val="Titulek"/>
        <w:suppressLineNumbers/>
        <w:spacing w:after="120"/>
        <w:rPr>
          <w:szCs w:val="22"/>
        </w:rPr>
      </w:pPr>
      <w:r w:rsidRPr="0075505C">
        <w:rPr>
          <w:szCs w:val="22"/>
        </w:rPr>
        <w:t>Tabulka</w:t>
      </w:r>
      <w:r w:rsidR="002B5C43"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4</w:t>
      </w:r>
      <w:r w:rsidRPr="0075505C">
        <w:rPr>
          <w:szCs w:val="22"/>
        </w:rPr>
        <w:fldChar w:fldCharType="end"/>
      </w:r>
      <w:r w:rsidR="002B5C43" w:rsidRPr="0075505C">
        <w:rPr>
          <w:szCs w:val="22"/>
        </w:rPr>
        <w:t>: Politická rizika Programu</w:t>
      </w:r>
    </w:p>
    <w:p w14:paraId="5DAF68E5" w14:textId="77777777" w:rsidR="0075505C" w:rsidRPr="0075505C" w:rsidRDefault="0075505C" w:rsidP="0075505C"/>
    <w:tbl>
      <w:tblPr>
        <w:tblStyle w:val="Stednstnovn1"/>
        <w:tblW w:w="9288" w:type="dxa"/>
        <w:tblLayout w:type="fixed"/>
        <w:tblLook w:val="04A0" w:firstRow="1" w:lastRow="0" w:firstColumn="1" w:lastColumn="0" w:noHBand="0" w:noVBand="1"/>
      </w:tblPr>
      <w:tblGrid>
        <w:gridCol w:w="1691"/>
        <w:gridCol w:w="284"/>
        <w:gridCol w:w="283"/>
        <w:gridCol w:w="827"/>
        <w:gridCol w:w="2693"/>
        <w:gridCol w:w="3510"/>
      </w:tblGrid>
      <w:tr w:rsidR="00B22BBB" w:rsidRPr="003B4314" w14:paraId="24F736EE" w14:textId="77777777" w:rsidTr="00815943">
        <w:trPr>
          <w:cnfStyle w:val="100000000000" w:firstRow="1" w:lastRow="0" w:firstColumn="0" w:lastColumn="0" w:oddVBand="0" w:evenVBand="0" w:oddHBand="0"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222A5B65"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R</w:t>
            </w:r>
            <w:r w:rsidRPr="0075505C">
              <w:rPr>
                <w:rFonts w:eastAsia="Calibri" w:cs="Times New Roman"/>
                <w:sz w:val="20"/>
              </w:rPr>
              <w:t>iziko</w:t>
            </w:r>
          </w:p>
        </w:tc>
        <w:tc>
          <w:tcPr>
            <w:tcW w:w="284" w:type="dxa"/>
            <w:textDirection w:val="btLr"/>
          </w:tcPr>
          <w:p w14:paraId="4E00F919" w14:textId="77777777" w:rsidR="002B5C43" w:rsidRPr="0075505C" w:rsidRDefault="002B5C43" w:rsidP="00815943">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Pravděp.</w:t>
            </w:r>
          </w:p>
        </w:tc>
        <w:tc>
          <w:tcPr>
            <w:tcW w:w="283" w:type="dxa"/>
            <w:textDirection w:val="btLr"/>
          </w:tcPr>
          <w:p w14:paraId="166111E5" w14:textId="77777777" w:rsidR="002B5C43" w:rsidRPr="0075505C" w:rsidRDefault="002B5C43" w:rsidP="00815943">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Dopad</w:t>
            </w:r>
          </w:p>
        </w:tc>
        <w:tc>
          <w:tcPr>
            <w:tcW w:w="827" w:type="dxa"/>
            <w:vAlign w:val="center"/>
          </w:tcPr>
          <w:p w14:paraId="24F8418E"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18"/>
              </w:rPr>
            </w:pPr>
            <w:r w:rsidRPr="0075505C">
              <w:rPr>
                <w:rFonts w:eastAsia="Calibri" w:cs="Times New Roman"/>
                <w:sz w:val="18"/>
              </w:rPr>
              <w:t>Význam</w:t>
            </w:r>
          </w:p>
        </w:tc>
        <w:tc>
          <w:tcPr>
            <w:tcW w:w="2693" w:type="dxa"/>
            <w:vAlign w:val="center"/>
          </w:tcPr>
          <w:p w14:paraId="62F7A360"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rPr>
            </w:pPr>
            <w:r w:rsidRPr="0075505C">
              <w:rPr>
                <w:rFonts w:eastAsia="Calibri" w:cs="Times New Roman"/>
                <w:sz w:val="20"/>
              </w:rPr>
              <w:t>Popis</w:t>
            </w:r>
          </w:p>
        </w:tc>
        <w:tc>
          <w:tcPr>
            <w:tcW w:w="3510" w:type="dxa"/>
            <w:vAlign w:val="center"/>
          </w:tcPr>
          <w:p w14:paraId="51437BF5" w14:textId="77777777" w:rsidR="002B5C43" w:rsidRPr="0075505C"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sz w:val="20"/>
              </w:rPr>
            </w:pPr>
            <w:r w:rsidRPr="0075505C">
              <w:rPr>
                <w:rFonts w:eastAsia="Calibri" w:cs="Times New Roman"/>
                <w:sz w:val="20"/>
              </w:rPr>
              <w:t>Opatření</w:t>
            </w:r>
          </w:p>
        </w:tc>
      </w:tr>
      <w:tr w:rsidR="00B22BBB" w:rsidRPr="003B4314" w14:paraId="40356A5E" w14:textId="77777777" w:rsidTr="008159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3B030288"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Pokračující relativní finanční propad BV vůči SR VaVaI</w:t>
            </w:r>
          </w:p>
        </w:tc>
        <w:tc>
          <w:tcPr>
            <w:tcW w:w="284" w:type="dxa"/>
          </w:tcPr>
          <w:p w14:paraId="7D84EC7A"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4</w:t>
            </w:r>
          </w:p>
        </w:tc>
        <w:tc>
          <w:tcPr>
            <w:tcW w:w="283" w:type="dxa"/>
          </w:tcPr>
          <w:p w14:paraId="6F70F2B0"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4</w:t>
            </w:r>
          </w:p>
        </w:tc>
        <w:tc>
          <w:tcPr>
            <w:tcW w:w="827" w:type="dxa"/>
          </w:tcPr>
          <w:p w14:paraId="5B1B3934"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vysoký</w:t>
            </w:r>
          </w:p>
        </w:tc>
        <w:tc>
          <w:tcPr>
            <w:tcW w:w="2693" w:type="dxa"/>
          </w:tcPr>
          <w:p w14:paraId="3E6E760E"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Dlouhodobý propad financování BV relativně k ostatním problematikám aplikovaného výzkumu snižuje jeho konkurenceschopnost při získávání participace kvalitních organizací.</w:t>
            </w:r>
          </w:p>
        </w:tc>
        <w:tc>
          <w:tcPr>
            <w:tcW w:w="3510" w:type="dxa"/>
          </w:tcPr>
          <w:p w14:paraId="2EB3BBB9"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Program je součástí plnění MKBV2017+, která stanoví opatření pro případ propadu relativního zajištění BV proti SR VaVaI, a to v </w:t>
            </w:r>
            <w:r w:rsidR="0086054B" w:rsidRPr="003B4314">
              <w:t>kapitole F. 1.2</w:t>
            </w:r>
            <w:r w:rsidRPr="003B4314">
              <w:t>, která stanoví, že při propadu podílu BV bude v navazujících výzvách omezován tematický rozsah veřejných soutěží.</w:t>
            </w:r>
          </w:p>
        </w:tc>
      </w:tr>
      <w:tr w:rsidR="00B22BBB" w:rsidRPr="003B4314" w14:paraId="6C1C18B0" w14:textId="77777777" w:rsidTr="008159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5C3E80E6"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 xml:space="preserve">Nestabilita finančního zajištění </w:t>
            </w:r>
            <w:r w:rsidRPr="003B4314">
              <w:rPr>
                <w:rFonts w:eastAsia="Calibri" w:cs="Times New Roman"/>
                <w:i/>
              </w:rPr>
              <w:t>Programu</w:t>
            </w:r>
          </w:p>
        </w:tc>
        <w:tc>
          <w:tcPr>
            <w:tcW w:w="284" w:type="dxa"/>
          </w:tcPr>
          <w:p w14:paraId="64E3CED8" w14:textId="3C847F0E" w:rsidR="002B5C43" w:rsidRPr="003B4314" w:rsidRDefault="003D003C"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Pr>
                <w:rFonts w:eastAsia="Calibri" w:cs="Times New Roman"/>
                <w:b/>
              </w:rPr>
              <w:t>4</w:t>
            </w:r>
          </w:p>
        </w:tc>
        <w:tc>
          <w:tcPr>
            <w:tcW w:w="283" w:type="dxa"/>
          </w:tcPr>
          <w:p w14:paraId="128325C3"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4</w:t>
            </w:r>
          </w:p>
        </w:tc>
        <w:tc>
          <w:tcPr>
            <w:tcW w:w="827" w:type="dxa"/>
          </w:tcPr>
          <w:p w14:paraId="4C4C75E4" w14:textId="420B1999" w:rsidR="002B5C43" w:rsidRPr="003B4314" w:rsidRDefault="003D003C"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rPr>
            </w:pPr>
            <w:r>
              <w:rPr>
                <w:rFonts w:eastAsia="Calibri" w:cs="Times New Roman"/>
              </w:rPr>
              <w:t>vysoký</w:t>
            </w:r>
          </w:p>
        </w:tc>
        <w:tc>
          <w:tcPr>
            <w:tcW w:w="2693" w:type="dxa"/>
          </w:tcPr>
          <w:p w14:paraId="2C5393AE" w14:textId="77777777" w:rsidR="002B5C43" w:rsidRPr="003B4314" w:rsidRDefault="00B22BBB"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Výrazné výkyvy ve financování mohou zlikvidovat veškerý potenciální přínos. Nemožnost zavedení zálohy pro řízení rizik tuto situaci ještě prohlubuje.</w:t>
            </w:r>
          </w:p>
        </w:tc>
        <w:tc>
          <w:tcPr>
            <w:tcW w:w="3510" w:type="dxa"/>
          </w:tcPr>
          <w:p w14:paraId="1D554A9D" w14:textId="77777777" w:rsidR="002B5C43" w:rsidRPr="003B4314" w:rsidRDefault="00B22BBB"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Mimo kontrolu poskytovatele, limitně lze výkyvy saturovat z NNV, které ale samy nejsou stabilním a předvídatelným nástrojem k řízení rizika.</w:t>
            </w:r>
          </w:p>
        </w:tc>
      </w:tr>
      <w:tr w:rsidR="00B22BBB" w:rsidRPr="003B4314" w14:paraId="75D1C0FA" w14:textId="77777777" w:rsidTr="008159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0CEC05DC" w14:textId="77777777" w:rsidR="002B5C43" w:rsidRPr="003B4314" w:rsidRDefault="00B22BBB" w:rsidP="009B202E">
            <w:pPr>
              <w:suppressLineNumbers/>
              <w:spacing w:after="120"/>
              <w:jc w:val="center"/>
              <w:rPr>
                <w:rFonts w:eastAsia="Calibri" w:cs="Times New Roman"/>
              </w:rPr>
            </w:pPr>
            <w:r w:rsidRPr="003B4314">
              <w:t>Nevyvážené rozpočty ve vztahu k synergickým aktivitám</w:t>
            </w:r>
          </w:p>
        </w:tc>
        <w:tc>
          <w:tcPr>
            <w:tcW w:w="284" w:type="dxa"/>
          </w:tcPr>
          <w:p w14:paraId="55A98E61" w14:textId="3EE1D06F" w:rsidR="002B5C43" w:rsidRPr="003B4314" w:rsidRDefault="003D003C"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Pr>
                <w:rFonts w:eastAsia="Calibri" w:cs="Times New Roman"/>
                <w:b/>
              </w:rPr>
              <w:t>3</w:t>
            </w:r>
          </w:p>
        </w:tc>
        <w:tc>
          <w:tcPr>
            <w:tcW w:w="283" w:type="dxa"/>
          </w:tcPr>
          <w:p w14:paraId="64C807B0" w14:textId="78060198" w:rsidR="002B5C43" w:rsidRPr="003B4314" w:rsidRDefault="003D003C"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Pr>
                <w:rFonts w:eastAsia="Calibri" w:cs="Times New Roman"/>
                <w:b/>
              </w:rPr>
              <w:t>3</w:t>
            </w:r>
          </w:p>
        </w:tc>
        <w:tc>
          <w:tcPr>
            <w:tcW w:w="827" w:type="dxa"/>
          </w:tcPr>
          <w:p w14:paraId="68DBCCB7" w14:textId="19782B2B" w:rsidR="002B5C43" w:rsidRPr="003B4314" w:rsidRDefault="003D003C"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Pr>
                <w:rFonts w:eastAsia="Calibri" w:cs="Times New Roman"/>
              </w:rPr>
              <w:t>nízký</w:t>
            </w:r>
          </w:p>
        </w:tc>
        <w:tc>
          <w:tcPr>
            <w:tcW w:w="2693" w:type="dxa"/>
          </w:tcPr>
          <w:p w14:paraId="53498A41"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Programy definované MKBV2017+ jako synergické vznikají postupně a bez okamžité provázanosti, odhady absorpčních kapacit a nákladů na programy tak mohou být nevyvážené</w:t>
            </w:r>
          </w:p>
        </w:tc>
        <w:tc>
          <w:tcPr>
            <w:tcW w:w="3510" w:type="dxa"/>
          </w:tcPr>
          <w:p w14:paraId="4749D088"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highlight w:val="yellow"/>
              </w:rPr>
            </w:pPr>
            <w:r w:rsidRPr="003B4314">
              <w:t>Poskytovatel předpokládá revizi celého portfolia programů v momentě jejich schválení a následně prvotní implementace v rámci procesů revize a hodnocení plnění MKBV2017+ - v případě, že se toto riziko materializuje, budou programy novelizovány a nastaveny nové poměry financování</w:t>
            </w:r>
          </w:p>
        </w:tc>
      </w:tr>
      <w:tr w:rsidR="00B22BBB" w:rsidRPr="003B4314" w14:paraId="15610305" w14:textId="77777777" w:rsidTr="008159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vAlign w:val="center"/>
          </w:tcPr>
          <w:p w14:paraId="0AE53348" w14:textId="321CC958" w:rsidR="002B5C43" w:rsidRPr="003B4314" w:rsidRDefault="003D003C" w:rsidP="009B202E">
            <w:pPr>
              <w:suppressLineNumbers/>
              <w:spacing w:after="120"/>
              <w:jc w:val="center"/>
              <w:rPr>
                <w:rFonts w:eastAsia="Calibri" w:cs="Times New Roman"/>
              </w:rPr>
            </w:pPr>
            <w:r>
              <w:rPr>
                <w:rFonts w:eastAsia="Calibri" w:cs="Times New Roman"/>
              </w:rPr>
              <w:t>Neodpovídající odhad absorpční kapacity, resp. výkyvy v projektové nabídce ve vztahu k celkové nebo k dílčím alokacím programu</w:t>
            </w:r>
          </w:p>
        </w:tc>
        <w:tc>
          <w:tcPr>
            <w:tcW w:w="284" w:type="dxa"/>
          </w:tcPr>
          <w:p w14:paraId="15ECF965" w14:textId="1564FBB4"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p>
        </w:tc>
        <w:tc>
          <w:tcPr>
            <w:tcW w:w="283" w:type="dxa"/>
          </w:tcPr>
          <w:p w14:paraId="3F285FEC" w14:textId="5E18EDD9" w:rsidR="002B5C43" w:rsidRPr="003B4314" w:rsidRDefault="003D003C"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Pr>
                <w:rFonts w:eastAsia="Calibri" w:cs="Times New Roman"/>
                <w:b/>
              </w:rPr>
              <w:t>2</w:t>
            </w:r>
          </w:p>
        </w:tc>
        <w:tc>
          <w:tcPr>
            <w:tcW w:w="827" w:type="dxa"/>
          </w:tcPr>
          <w:p w14:paraId="0AF4BE79" w14:textId="7D698647" w:rsidR="002B5C43" w:rsidRPr="004B6BFD" w:rsidRDefault="003D003C"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4B6BFD">
              <w:rPr>
                <w:rFonts w:eastAsia="Calibri" w:cs="Times New Roman"/>
                <w:b/>
              </w:rPr>
              <w:t>3</w:t>
            </w:r>
          </w:p>
        </w:tc>
        <w:tc>
          <w:tcPr>
            <w:tcW w:w="2693" w:type="dxa"/>
          </w:tcPr>
          <w:p w14:paraId="6A3BE459" w14:textId="64A2E95E" w:rsidR="002B5C43" w:rsidRPr="003B4314" w:rsidRDefault="003D003C"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t>Program staví na dlouhodobých zkušenostech s podporou v tomto segmentu, přesto se lze domnívat, že dojde k výkyvům poptávky (díky nedostatku jiných finančních zdrojů) nebo díky změnám v bezpečnostním či technologickém prostředí</w:t>
            </w:r>
          </w:p>
        </w:tc>
        <w:tc>
          <w:tcPr>
            <w:tcW w:w="3510" w:type="dxa"/>
          </w:tcPr>
          <w:p w14:paraId="497F5AFA" w14:textId="77777777" w:rsidR="003D003C" w:rsidRDefault="003D003C"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pPr>
            <w:r>
              <w:t xml:space="preserve">Program zahrnuje opatření pro případnou částečnou korekci podle poptávky v rámci realizace veřejných soutěží. V případě razantních výkyvů lze korigovat v rámci zákonného limitu také mezi programy. </w:t>
            </w:r>
          </w:p>
          <w:p w14:paraId="16B4139C" w14:textId="17FB5633" w:rsidR="002B5C43" w:rsidRPr="003B4314" w:rsidRDefault="003D003C"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t xml:space="preserve">V případě radikální proměny celého systému poskytování veřejné podpory lze programové portfolio revidovat a znovu nastavit. </w:t>
            </w:r>
          </w:p>
        </w:tc>
      </w:tr>
    </w:tbl>
    <w:p w14:paraId="45BD84E6" w14:textId="1B13E99B" w:rsidR="00D139DE" w:rsidRPr="0075505C" w:rsidRDefault="0075505C" w:rsidP="009B202E">
      <w:pPr>
        <w:pStyle w:val="Titulek"/>
        <w:suppressLineNumbers/>
        <w:spacing w:after="120"/>
        <w:rPr>
          <w:szCs w:val="22"/>
        </w:rPr>
      </w:pPr>
      <w:r w:rsidRPr="0075505C">
        <w:rPr>
          <w:szCs w:val="22"/>
        </w:rPr>
        <w:t>Tabulka</w:t>
      </w:r>
      <w:r w:rsidR="002B5C43"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5</w:t>
      </w:r>
      <w:r w:rsidRPr="0075505C">
        <w:rPr>
          <w:szCs w:val="22"/>
        </w:rPr>
        <w:fldChar w:fldCharType="end"/>
      </w:r>
      <w:r w:rsidR="002B5C43" w:rsidRPr="0075505C">
        <w:rPr>
          <w:szCs w:val="22"/>
        </w:rPr>
        <w:t>: Ekonomická rizika Programu</w:t>
      </w:r>
    </w:p>
    <w:p w14:paraId="61186AC5" w14:textId="77777777" w:rsidR="0075505C" w:rsidRPr="0075505C" w:rsidRDefault="0075505C" w:rsidP="0075505C"/>
    <w:tbl>
      <w:tblPr>
        <w:tblStyle w:val="Stednstnovn1"/>
        <w:tblW w:w="0" w:type="auto"/>
        <w:tblLayout w:type="fixed"/>
        <w:tblLook w:val="04A0" w:firstRow="1" w:lastRow="0" w:firstColumn="1" w:lastColumn="0" w:noHBand="0" w:noVBand="1"/>
      </w:tblPr>
      <w:tblGrid>
        <w:gridCol w:w="1668"/>
        <w:gridCol w:w="283"/>
        <w:gridCol w:w="284"/>
        <w:gridCol w:w="850"/>
        <w:gridCol w:w="2693"/>
        <w:gridCol w:w="3510"/>
      </w:tblGrid>
      <w:tr w:rsidR="00B22BBB" w:rsidRPr="003B4314" w14:paraId="1C46C7D7" w14:textId="77777777" w:rsidTr="00D139DE">
        <w:trPr>
          <w:cnfStyle w:val="100000000000" w:firstRow="1" w:lastRow="0" w:firstColumn="0" w:lastColumn="0" w:oddVBand="0" w:evenVBand="0" w:oddHBand="0" w:evenHBand="0" w:firstRowFirstColumn="0" w:firstRowLastColumn="0" w:lastRowFirstColumn="0" w:lastRowLastColumn="0"/>
          <w:trHeight w:val="826"/>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12A03A3C"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Riziko</w:t>
            </w:r>
          </w:p>
        </w:tc>
        <w:tc>
          <w:tcPr>
            <w:tcW w:w="283" w:type="dxa"/>
            <w:textDirection w:val="btLr"/>
            <w:vAlign w:val="center"/>
          </w:tcPr>
          <w:p w14:paraId="27E6B8A2" w14:textId="77777777" w:rsidR="002B5C43" w:rsidRPr="0075505C" w:rsidRDefault="002B5C43" w:rsidP="009B202E">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szCs w:val="16"/>
              </w:rPr>
            </w:pPr>
            <w:r w:rsidRPr="0075505C">
              <w:rPr>
                <w:rFonts w:eastAsia="Calibri" w:cs="Times New Roman"/>
                <w:sz w:val="16"/>
                <w:szCs w:val="16"/>
              </w:rPr>
              <w:t>Pravděp.</w:t>
            </w:r>
          </w:p>
        </w:tc>
        <w:tc>
          <w:tcPr>
            <w:tcW w:w="284" w:type="dxa"/>
            <w:textDirection w:val="btLr"/>
            <w:vAlign w:val="center"/>
          </w:tcPr>
          <w:p w14:paraId="5945F877" w14:textId="77777777" w:rsidR="002B5C43" w:rsidRPr="0075505C" w:rsidRDefault="002B5C43" w:rsidP="009B202E">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szCs w:val="16"/>
              </w:rPr>
            </w:pPr>
            <w:r w:rsidRPr="0075505C">
              <w:rPr>
                <w:rFonts w:eastAsia="Calibri" w:cs="Times New Roman"/>
                <w:sz w:val="16"/>
                <w:szCs w:val="16"/>
              </w:rPr>
              <w:t>Dopad</w:t>
            </w:r>
          </w:p>
        </w:tc>
        <w:tc>
          <w:tcPr>
            <w:tcW w:w="850" w:type="dxa"/>
            <w:vAlign w:val="center"/>
          </w:tcPr>
          <w:p w14:paraId="6C59D05C"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75505C">
              <w:rPr>
                <w:rFonts w:eastAsia="Calibri" w:cs="Times New Roman"/>
                <w:sz w:val="18"/>
              </w:rPr>
              <w:t>Význam</w:t>
            </w:r>
          </w:p>
        </w:tc>
        <w:tc>
          <w:tcPr>
            <w:tcW w:w="2693" w:type="dxa"/>
            <w:vAlign w:val="center"/>
          </w:tcPr>
          <w:p w14:paraId="4C9B3F2D"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Popis</w:t>
            </w:r>
          </w:p>
        </w:tc>
        <w:tc>
          <w:tcPr>
            <w:tcW w:w="3510" w:type="dxa"/>
            <w:vAlign w:val="center"/>
          </w:tcPr>
          <w:p w14:paraId="7AD36E98"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Opatření</w:t>
            </w:r>
          </w:p>
        </w:tc>
      </w:tr>
      <w:tr w:rsidR="00B22BBB" w:rsidRPr="003B4314" w14:paraId="39DE6FE3" w14:textId="77777777" w:rsidTr="00CE7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626D3814"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lastRenderedPageBreak/>
              <w:t>Nezájem o nabízená témata</w:t>
            </w:r>
          </w:p>
        </w:tc>
        <w:tc>
          <w:tcPr>
            <w:tcW w:w="283" w:type="dxa"/>
          </w:tcPr>
          <w:p w14:paraId="130D4138"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2</w:t>
            </w:r>
          </w:p>
        </w:tc>
        <w:tc>
          <w:tcPr>
            <w:tcW w:w="284" w:type="dxa"/>
          </w:tcPr>
          <w:p w14:paraId="7E8BAEAC"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3</w:t>
            </w:r>
          </w:p>
        </w:tc>
        <w:tc>
          <w:tcPr>
            <w:tcW w:w="850" w:type="dxa"/>
          </w:tcPr>
          <w:p w14:paraId="4FB8F891"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nízký</w:t>
            </w:r>
          </w:p>
        </w:tc>
        <w:tc>
          <w:tcPr>
            <w:tcW w:w="2693" w:type="dxa"/>
          </w:tcPr>
          <w:p w14:paraId="0624A4BA"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Nízká předpokládaná ochota k financování vede k selekci skutečně těch nejvíce specializovaných témat, což značně snižuje potenciál k rekrutaci většího počtu kvalitních kandidátů a ke skutečné soutěži.</w:t>
            </w:r>
          </w:p>
        </w:tc>
        <w:tc>
          <w:tcPr>
            <w:tcW w:w="3510" w:type="dxa"/>
          </w:tcPr>
          <w:p w14:paraId="46D02313" w14:textId="5BDB6F0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Program je v tuto chvíli koncipován tak, aby cílil na témata, která disponují relativně velkou a aktivní komunitou v rámci</w:t>
            </w:r>
            <w:r w:rsidR="001C72C8">
              <w:t xml:space="preserve"> výzkumné sféry. Zároveň jde o P</w:t>
            </w:r>
            <w:r w:rsidRPr="003B4314">
              <w:t>rogram otevřený, který k omezení tohoto rizika otevírá možnost přihlášky mimo hlavní témata.</w:t>
            </w:r>
          </w:p>
        </w:tc>
      </w:tr>
      <w:tr w:rsidR="00B22BBB" w:rsidRPr="003B4314" w14:paraId="13D5DFB0" w14:textId="77777777" w:rsidTr="00CE72D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25772518" w14:textId="77777777" w:rsidR="002B5C43" w:rsidRPr="003B4314" w:rsidRDefault="002B5C43" w:rsidP="009B202E">
            <w:pPr>
              <w:suppressLineNumbers/>
              <w:spacing w:after="120"/>
              <w:jc w:val="center"/>
              <w:rPr>
                <w:rFonts w:eastAsia="Calibri" w:cs="Times New Roman"/>
              </w:rPr>
            </w:pPr>
            <w:r w:rsidRPr="00815943">
              <w:rPr>
                <w:rFonts w:eastAsia="Calibri" w:cs="Times New Roman"/>
                <w:sz w:val="20"/>
              </w:rPr>
              <w:t>Konkurence méně specifických a otevřenějších tematických oblastí u méně specializovaných pracovišť</w:t>
            </w:r>
          </w:p>
        </w:tc>
        <w:tc>
          <w:tcPr>
            <w:tcW w:w="283" w:type="dxa"/>
          </w:tcPr>
          <w:p w14:paraId="66D6C416"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2</w:t>
            </w:r>
          </w:p>
        </w:tc>
        <w:tc>
          <w:tcPr>
            <w:tcW w:w="284" w:type="dxa"/>
          </w:tcPr>
          <w:p w14:paraId="582D6CF0"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3</w:t>
            </w:r>
          </w:p>
        </w:tc>
        <w:tc>
          <w:tcPr>
            <w:tcW w:w="850" w:type="dxa"/>
          </w:tcPr>
          <w:p w14:paraId="61B91112"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rPr>
                <w:rFonts w:eastAsia="Calibri" w:cs="Times New Roman"/>
              </w:rPr>
              <w:t>nízký</w:t>
            </w:r>
          </w:p>
        </w:tc>
        <w:tc>
          <w:tcPr>
            <w:tcW w:w="2693" w:type="dxa"/>
          </w:tcPr>
          <w:p w14:paraId="13D0D03C" w14:textId="2026AD88" w:rsidR="002B5C43" w:rsidRPr="003B4314" w:rsidRDefault="00B22BBB" w:rsidP="006A4221">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 xml:space="preserve">Zatímco specializovaná podstata BV a klesající relativní financování vedou k zužování prioritizovaného pole BV, u ostatních poskytovatelů probíhá opačný proces. To zvyšuje úspěšnost a snižuje transakční náklady pro účast při stejném celkovém absorpčním limitu ze strany </w:t>
            </w:r>
            <w:r w:rsidR="003D003C">
              <w:t>uchazečů</w:t>
            </w:r>
            <w:r w:rsidRPr="003B4314">
              <w:t>.</w:t>
            </w:r>
          </w:p>
        </w:tc>
        <w:tc>
          <w:tcPr>
            <w:tcW w:w="3510" w:type="dxa"/>
          </w:tcPr>
          <w:p w14:paraId="4CD14877" w14:textId="42FBF254" w:rsidR="002B5C43" w:rsidRPr="003B4314" w:rsidRDefault="00B22BBB" w:rsidP="0068247F">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Program do budoucna předpokládá snahu o zajištění</w:t>
            </w:r>
            <w:r w:rsidR="003D003C">
              <w:t xml:space="preserve"> vyšší</w:t>
            </w:r>
            <w:r w:rsidRPr="003B4314">
              <w:t xml:space="preserve"> úspěšnosti žádostí</w:t>
            </w:r>
            <w:r w:rsidR="003D003C">
              <w:t>.</w:t>
            </w:r>
            <w:r w:rsidRPr="003B4314">
              <w:t xml:space="preserve"> Úspěšnost ovlivňují 2 proměnné, (A) kvalita projektů, (B) dostupné financování. Informační kampaň před výzvami umožňuje rekrutovat kvalitní uchazeče; financování programu tak snadno řídit </w:t>
            </w:r>
            <w:r w:rsidR="003D003C" w:rsidRPr="003B4314">
              <w:t>ne</w:t>
            </w:r>
            <w:r w:rsidR="003D003C">
              <w:t>lze</w:t>
            </w:r>
            <w:r w:rsidRPr="003B4314">
              <w:t xml:space="preserve">, přesto se předpokládá, že </w:t>
            </w:r>
            <w:r w:rsidR="00777E40" w:rsidRPr="003B4314">
              <w:t xml:space="preserve">Program </w:t>
            </w:r>
            <w:r w:rsidRPr="003B4314">
              <w:t>bude jedním z programů určených k absorpci zbytkových financí z ostatních programů (v rámci zákonných limitů).</w:t>
            </w:r>
          </w:p>
        </w:tc>
      </w:tr>
    </w:tbl>
    <w:p w14:paraId="0EF33057" w14:textId="725375E0" w:rsidR="00CE72D6" w:rsidRDefault="0075505C" w:rsidP="009B202E">
      <w:pPr>
        <w:pStyle w:val="Titulek"/>
        <w:suppressLineNumbers/>
        <w:spacing w:after="120"/>
        <w:rPr>
          <w:sz w:val="22"/>
          <w:szCs w:val="22"/>
        </w:rPr>
      </w:pPr>
      <w:r w:rsidRPr="0075505C">
        <w:rPr>
          <w:szCs w:val="22"/>
        </w:rPr>
        <w:t>Tabulka</w:t>
      </w:r>
      <w:r w:rsidR="002B5C43"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6</w:t>
      </w:r>
      <w:r w:rsidRPr="0075505C">
        <w:rPr>
          <w:szCs w:val="22"/>
        </w:rPr>
        <w:fldChar w:fldCharType="end"/>
      </w:r>
      <w:r w:rsidR="002B5C43" w:rsidRPr="0075505C">
        <w:rPr>
          <w:szCs w:val="22"/>
        </w:rPr>
        <w:t>: Společenská rizika Programu</w:t>
      </w:r>
    </w:p>
    <w:p w14:paraId="7A2CF7BD" w14:textId="77777777" w:rsidR="0075505C" w:rsidRPr="0075505C" w:rsidRDefault="0075505C" w:rsidP="0075505C"/>
    <w:tbl>
      <w:tblPr>
        <w:tblStyle w:val="Stednstnovn1"/>
        <w:tblW w:w="0" w:type="auto"/>
        <w:tblLayout w:type="fixed"/>
        <w:tblLook w:val="04A0" w:firstRow="1" w:lastRow="0" w:firstColumn="1" w:lastColumn="0" w:noHBand="0" w:noVBand="1"/>
      </w:tblPr>
      <w:tblGrid>
        <w:gridCol w:w="1668"/>
        <w:gridCol w:w="283"/>
        <w:gridCol w:w="284"/>
        <w:gridCol w:w="850"/>
        <w:gridCol w:w="2693"/>
        <w:gridCol w:w="3510"/>
      </w:tblGrid>
      <w:tr w:rsidR="00B22BBB" w:rsidRPr="003B4314" w14:paraId="2841DB63" w14:textId="77777777" w:rsidTr="00CE72D6">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2292456F"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Riziko</w:t>
            </w:r>
          </w:p>
        </w:tc>
        <w:tc>
          <w:tcPr>
            <w:tcW w:w="283" w:type="dxa"/>
            <w:textDirection w:val="btLr"/>
            <w:vAlign w:val="center"/>
          </w:tcPr>
          <w:p w14:paraId="607E8645" w14:textId="77777777" w:rsidR="002B5C43" w:rsidRPr="0075505C" w:rsidRDefault="002B5C43" w:rsidP="009B202E">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Pravděp.</w:t>
            </w:r>
          </w:p>
        </w:tc>
        <w:tc>
          <w:tcPr>
            <w:tcW w:w="284" w:type="dxa"/>
            <w:textDirection w:val="btLr"/>
            <w:vAlign w:val="center"/>
          </w:tcPr>
          <w:p w14:paraId="70F1E1D3" w14:textId="77777777" w:rsidR="002B5C43" w:rsidRPr="0075505C" w:rsidRDefault="002B5C43" w:rsidP="009B202E">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rPr>
            </w:pPr>
            <w:r w:rsidRPr="0075505C">
              <w:rPr>
                <w:rFonts w:eastAsia="Calibri" w:cs="Times New Roman"/>
                <w:sz w:val="16"/>
              </w:rPr>
              <w:t>Dopad</w:t>
            </w:r>
          </w:p>
        </w:tc>
        <w:tc>
          <w:tcPr>
            <w:tcW w:w="850" w:type="dxa"/>
            <w:vAlign w:val="center"/>
          </w:tcPr>
          <w:p w14:paraId="0A7156EA"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75505C">
              <w:rPr>
                <w:rFonts w:eastAsia="Calibri" w:cs="Times New Roman"/>
                <w:sz w:val="18"/>
              </w:rPr>
              <w:t>Význam</w:t>
            </w:r>
          </w:p>
        </w:tc>
        <w:tc>
          <w:tcPr>
            <w:tcW w:w="2693" w:type="dxa"/>
            <w:vAlign w:val="center"/>
          </w:tcPr>
          <w:p w14:paraId="391FFAD7"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Popis</w:t>
            </w:r>
          </w:p>
        </w:tc>
        <w:tc>
          <w:tcPr>
            <w:tcW w:w="3510" w:type="dxa"/>
            <w:vAlign w:val="center"/>
          </w:tcPr>
          <w:p w14:paraId="1AE6EDEA"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Opatření</w:t>
            </w:r>
          </w:p>
        </w:tc>
      </w:tr>
      <w:tr w:rsidR="00B22BBB" w:rsidRPr="003B4314" w14:paraId="193A59EC" w14:textId="77777777" w:rsidTr="00CE7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018A3358"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Číselníky a datová struktura pro přihlášky (IS)</w:t>
            </w:r>
          </w:p>
        </w:tc>
        <w:tc>
          <w:tcPr>
            <w:tcW w:w="283" w:type="dxa"/>
          </w:tcPr>
          <w:p w14:paraId="2DE06A4C"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2</w:t>
            </w:r>
          </w:p>
        </w:tc>
        <w:tc>
          <w:tcPr>
            <w:tcW w:w="284" w:type="dxa"/>
          </w:tcPr>
          <w:p w14:paraId="155AA959"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2</w:t>
            </w:r>
          </w:p>
        </w:tc>
        <w:tc>
          <w:tcPr>
            <w:tcW w:w="850" w:type="dxa"/>
          </w:tcPr>
          <w:p w14:paraId="521F821A"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nízký</w:t>
            </w:r>
          </w:p>
        </w:tc>
        <w:tc>
          <w:tcPr>
            <w:tcW w:w="2693" w:type="dxa"/>
          </w:tcPr>
          <w:p w14:paraId="1DCEFB92" w14:textId="568C514A" w:rsidR="002B5C43" w:rsidRPr="003B4314" w:rsidRDefault="00B22BBB" w:rsidP="006A4221">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 xml:space="preserve">Program vyžaduje odlišné kategorizace ve srovnání s dosud realizovanými nástroji podpory BV. </w:t>
            </w:r>
          </w:p>
        </w:tc>
        <w:tc>
          <w:tcPr>
            <w:tcW w:w="3510" w:type="dxa"/>
          </w:tcPr>
          <w:p w14:paraId="2895E336" w14:textId="3EE39CFB"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Nízké riziko, nutno pouze monitorovat a regulovat manažerskými opatřeními.</w:t>
            </w:r>
            <w:r w:rsidR="003D003C">
              <w:t xml:space="preserve"> Je pochopitelné, že rozdílné programy přináší rozdílné kategorizační nároky. </w:t>
            </w:r>
          </w:p>
        </w:tc>
      </w:tr>
      <w:tr w:rsidR="00B22BBB" w:rsidRPr="003B4314" w14:paraId="0E39862A" w14:textId="77777777" w:rsidTr="00CE72D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6E987B43"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t>Vzorové smlouvy a programové procesy od začátku</w:t>
            </w:r>
          </w:p>
        </w:tc>
        <w:tc>
          <w:tcPr>
            <w:tcW w:w="283" w:type="dxa"/>
          </w:tcPr>
          <w:p w14:paraId="6ABDB2F2"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2</w:t>
            </w:r>
          </w:p>
        </w:tc>
        <w:tc>
          <w:tcPr>
            <w:tcW w:w="284" w:type="dxa"/>
          </w:tcPr>
          <w:p w14:paraId="0A86E6A1"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b/>
              </w:rPr>
            </w:pPr>
            <w:r w:rsidRPr="003B4314">
              <w:rPr>
                <w:rFonts w:eastAsia="Calibri" w:cs="Times New Roman"/>
                <w:b/>
              </w:rPr>
              <w:t>2</w:t>
            </w:r>
          </w:p>
        </w:tc>
        <w:tc>
          <w:tcPr>
            <w:tcW w:w="850" w:type="dxa"/>
          </w:tcPr>
          <w:p w14:paraId="744A5380" w14:textId="77777777" w:rsidR="002B5C43" w:rsidRPr="003B4314" w:rsidRDefault="002B5C43" w:rsidP="009B202E">
            <w:pPr>
              <w:suppressLineNumbers/>
              <w:spacing w:after="120"/>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rPr>
                <w:rFonts w:eastAsia="Calibri" w:cs="Times New Roman"/>
              </w:rPr>
              <w:t>nízký</w:t>
            </w:r>
          </w:p>
        </w:tc>
        <w:tc>
          <w:tcPr>
            <w:tcW w:w="2693" w:type="dxa"/>
          </w:tcPr>
          <w:p w14:paraId="62724B5C" w14:textId="77777777" w:rsidR="002B5C43" w:rsidRPr="003B4314" w:rsidRDefault="00B22BBB"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Některé podprogramy vyžadují nové vzorové smlouvy a procesy. Program je však mechanikou podobný standardním veřejným soutěžím, a proto je riziko nižší než u zcela odlišných programů. Učení ze zkušeností je součástí návrhu.</w:t>
            </w:r>
          </w:p>
        </w:tc>
        <w:tc>
          <w:tcPr>
            <w:tcW w:w="3510" w:type="dxa"/>
          </w:tcPr>
          <w:p w14:paraId="55C1FDFC" w14:textId="77777777" w:rsidR="002B5C43" w:rsidRPr="003B4314" w:rsidRDefault="00B22BBB" w:rsidP="009B202E">
            <w:pPr>
              <w:suppressLineNumbers/>
              <w:spacing w:after="120"/>
              <w:jc w:val="left"/>
              <w:cnfStyle w:val="000000010000" w:firstRow="0" w:lastRow="0" w:firstColumn="0" w:lastColumn="0" w:oddVBand="0" w:evenVBand="0" w:oddHBand="0" w:evenHBand="1" w:firstRowFirstColumn="0" w:firstRowLastColumn="0" w:lastRowFirstColumn="0" w:lastRowLastColumn="0"/>
              <w:rPr>
                <w:rFonts w:eastAsia="Calibri" w:cs="Times New Roman"/>
              </w:rPr>
            </w:pPr>
            <w:r w:rsidRPr="003B4314">
              <w:t>Nízké riziko, nutno pouze monitorovat a regulovat manažerskými opatřeními.</w:t>
            </w:r>
          </w:p>
        </w:tc>
      </w:tr>
    </w:tbl>
    <w:p w14:paraId="70290F0E" w14:textId="7CA0A8CB" w:rsidR="00017873" w:rsidRPr="0075505C" w:rsidRDefault="0075505C" w:rsidP="004B6BFD">
      <w:pPr>
        <w:pStyle w:val="Titulek"/>
        <w:suppressLineNumbers/>
        <w:spacing w:after="120"/>
        <w:rPr>
          <w:szCs w:val="22"/>
        </w:rPr>
      </w:pPr>
      <w:r w:rsidRPr="0075505C">
        <w:rPr>
          <w:szCs w:val="22"/>
        </w:rPr>
        <w:t>Tabulka</w:t>
      </w:r>
      <w:r w:rsidR="002B5C43"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7</w:t>
      </w:r>
      <w:r w:rsidRPr="0075505C">
        <w:rPr>
          <w:szCs w:val="22"/>
        </w:rPr>
        <w:fldChar w:fldCharType="end"/>
      </w:r>
      <w:r w:rsidR="002B5C43" w:rsidRPr="0075505C">
        <w:rPr>
          <w:szCs w:val="22"/>
        </w:rPr>
        <w:t>: Technická rizika Programu</w:t>
      </w:r>
    </w:p>
    <w:p w14:paraId="573771D0" w14:textId="77777777" w:rsidR="0075505C" w:rsidRPr="0075505C" w:rsidRDefault="0075505C" w:rsidP="0075505C"/>
    <w:tbl>
      <w:tblPr>
        <w:tblStyle w:val="Stednstnovn1"/>
        <w:tblW w:w="0" w:type="auto"/>
        <w:tblLayout w:type="fixed"/>
        <w:tblLook w:val="04A0" w:firstRow="1" w:lastRow="0" w:firstColumn="1" w:lastColumn="0" w:noHBand="0" w:noVBand="1"/>
      </w:tblPr>
      <w:tblGrid>
        <w:gridCol w:w="1668"/>
        <w:gridCol w:w="283"/>
        <w:gridCol w:w="284"/>
        <w:gridCol w:w="850"/>
        <w:gridCol w:w="2693"/>
        <w:gridCol w:w="3510"/>
      </w:tblGrid>
      <w:tr w:rsidR="00777E40" w:rsidRPr="003B4314" w14:paraId="55F01F4B" w14:textId="77777777" w:rsidTr="0075505C">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613FE9EE" w14:textId="77777777" w:rsidR="002B5C43" w:rsidRPr="003B4314" w:rsidRDefault="002B5C43" w:rsidP="009B202E">
            <w:pPr>
              <w:suppressLineNumbers/>
              <w:spacing w:after="120"/>
              <w:jc w:val="center"/>
              <w:rPr>
                <w:rFonts w:eastAsia="Calibri" w:cs="Times New Roman"/>
              </w:rPr>
            </w:pPr>
            <w:r w:rsidRPr="003B4314">
              <w:rPr>
                <w:rFonts w:eastAsia="Calibri" w:cs="Times New Roman"/>
              </w:rPr>
              <w:lastRenderedPageBreak/>
              <w:t>Riziko</w:t>
            </w:r>
          </w:p>
        </w:tc>
        <w:tc>
          <w:tcPr>
            <w:tcW w:w="283" w:type="dxa"/>
            <w:textDirection w:val="btLr"/>
          </w:tcPr>
          <w:p w14:paraId="6BFE42EC" w14:textId="77777777" w:rsidR="002B5C43" w:rsidRPr="0075505C" w:rsidRDefault="002B5C43" w:rsidP="0075505C">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szCs w:val="16"/>
              </w:rPr>
            </w:pPr>
            <w:r w:rsidRPr="0075505C">
              <w:rPr>
                <w:rFonts w:eastAsia="Calibri" w:cs="Times New Roman"/>
                <w:sz w:val="16"/>
                <w:szCs w:val="16"/>
              </w:rPr>
              <w:t>Pravděp.</w:t>
            </w:r>
          </w:p>
        </w:tc>
        <w:tc>
          <w:tcPr>
            <w:tcW w:w="284" w:type="dxa"/>
            <w:textDirection w:val="btLr"/>
          </w:tcPr>
          <w:p w14:paraId="145A546B" w14:textId="77777777" w:rsidR="002B5C43" w:rsidRPr="0075505C" w:rsidRDefault="002B5C43" w:rsidP="0075505C">
            <w:pPr>
              <w:suppressLineNumbers/>
              <w:spacing w:after="120"/>
              <w:ind w:left="113" w:right="113"/>
              <w:jc w:val="center"/>
              <w:cnfStyle w:val="100000000000" w:firstRow="1" w:lastRow="0" w:firstColumn="0" w:lastColumn="0" w:oddVBand="0" w:evenVBand="0" w:oddHBand="0" w:evenHBand="0" w:firstRowFirstColumn="0" w:firstRowLastColumn="0" w:lastRowFirstColumn="0" w:lastRowLastColumn="0"/>
              <w:rPr>
                <w:rFonts w:eastAsia="Calibri" w:cs="Times New Roman"/>
                <w:sz w:val="16"/>
                <w:szCs w:val="16"/>
              </w:rPr>
            </w:pPr>
            <w:r w:rsidRPr="0075505C">
              <w:rPr>
                <w:rFonts w:eastAsia="Calibri" w:cs="Times New Roman"/>
                <w:sz w:val="16"/>
                <w:szCs w:val="16"/>
              </w:rPr>
              <w:t>Dopad</w:t>
            </w:r>
          </w:p>
        </w:tc>
        <w:tc>
          <w:tcPr>
            <w:tcW w:w="850" w:type="dxa"/>
            <w:vAlign w:val="center"/>
          </w:tcPr>
          <w:p w14:paraId="686549EF"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75505C">
              <w:rPr>
                <w:rFonts w:eastAsia="Calibri" w:cs="Times New Roman"/>
                <w:sz w:val="18"/>
              </w:rPr>
              <w:t>Význam</w:t>
            </w:r>
          </w:p>
        </w:tc>
        <w:tc>
          <w:tcPr>
            <w:tcW w:w="2693" w:type="dxa"/>
            <w:vAlign w:val="center"/>
          </w:tcPr>
          <w:p w14:paraId="10D25774"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Opatření</w:t>
            </w:r>
          </w:p>
        </w:tc>
        <w:tc>
          <w:tcPr>
            <w:tcW w:w="3510" w:type="dxa"/>
            <w:vAlign w:val="center"/>
          </w:tcPr>
          <w:p w14:paraId="7071B9C1" w14:textId="77777777" w:rsidR="002B5C43" w:rsidRPr="003B4314" w:rsidRDefault="002B5C43"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eastAsia="Calibri" w:cs="Times New Roman"/>
              </w:rPr>
            </w:pPr>
            <w:r w:rsidRPr="003B4314">
              <w:rPr>
                <w:rFonts w:eastAsia="Calibri" w:cs="Times New Roman"/>
              </w:rPr>
              <w:t>Opatření</w:t>
            </w:r>
          </w:p>
        </w:tc>
      </w:tr>
      <w:tr w:rsidR="00777E40" w:rsidRPr="003B4314" w14:paraId="450559DD" w14:textId="77777777" w:rsidTr="00CE72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vAlign w:val="center"/>
          </w:tcPr>
          <w:p w14:paraId="77ED5596" w14:textId="77777777" w:rsidR="002B5C43" w:rsidRPr="003B4314" w:rsidRDefault="002B5C43" w:rsidP="009B202E">
            <w:pPr>
              <w:suppressLineNumbers/>
              <w:spacing w:after="120"/>
              <w:jc w:val="center"/>
              <w:rPr>
                <w:rFonts w:eastAsia="Calibri" w:cs="Times New Roman"/>
              </w:rPr>
            </w:pPr>
            <w:r w:rsidRPr="00815943">
              <w:rPr>
                <w:rFonts w:eastAsia="Calibri" w:cs="Times New Roman"/>
                <w:sz w:val="20"/>
              </w:rPr>
              <w:t>Novela z. 130/2002 Sb. nebere v úvahu mise specializovaných poskytovatelů</w:t>
            </w:r>
          </w:p>
        </w:tc>
        <w:tc>
          <w:tcPr>
            <w:tcW w:w="283" w:type="dxa"/>
          </w:tcPr>
          <w:p w14:paraId="66F9576C"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2</w:t>
            </w:r>
          </w:p>
        </w:tc>
        <w:tc>
          <w:tcPr>
            <w:tcW w:w="284" w:type="dxa"/>
          </w:tcPr>
          <w:p w14:paraId="069BB4DC"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b/>
              </w:rPr>
            </w:pPr>
            <w:r w:rsidRPr="003B4314">
              <w:rPr>
                <w:rFonts w:eastAsia="Calibri" w:cs="Times New Roman"/>
                <w:b/>
              </w:rPr>
              <w:t>2</w:t>
            </w:r>
          </w:p>
        </w:tc>
        <w:tc>
          <w:tcPr>
            <w:tcW w:w="850" w:type="dxa"/>
          </w:tcPr>
          <w:p w14:paraId="1E76219C" w14:textId="77777777" w:rsidR="002B5C43" w:rsidRPr="003B4314" w:rsidRDefault="002B5C43" w:rsidP="009B202E">
            <w:pPr>
              <w:suppressLineNumbers/>
              <w:spacing w:after="120"/>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rPr>
                <w:rFonts w:eastAsia="Calibri" w:cs="Times New Roman"/>
              </w:rPr>
              <w:t>nízký</w:t>
            </w:r>
          </w:p>
        </w:tc>
        <w:tc>
          <w:tcPr>
            <w:tcW w:w="2693" w:type="dxa"/>
          </w:tcPr>
          <w:p w14:paraId="34F40E4D"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Zcela nepředvídatelný přístup k novele výzkumné legislativy může zcela změnit fungování systému, možnosti poskytovatelů, potenciálně mechanismy projektů atd.</w:t>
            </w:r>
          </w:p>
        </w:tc>
        <w:tc>
          <w:tcPr>
            <w:tcW w:w="3510" w:type="dxa"/>
          </w:tcPr>
          <w:p w14:paraId="11D57565" w14:textId="77777777" w:rsidR="002B5C43" w:rsidRPr="003B4314" w:rsidRDefault="00B22BBB"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eastAsia="Calibri" w:cs="Times New Roman"/>
              </w:rPr>
            </w:pPr>
            <w:r w:rsidRPr="003B4314">
              <w:t>Nutno monitorovat, nelze však formulovat preventivní opatření. V případě zásadních změn a jejich platnosti pro programy schválené před změnou legislativy bude nutné zvážit reformulaci programu a jeho vnitřní mechaniky.</w:t>
            </w:r>
          </w:p>
        </w:tc>
      </w:tr>
    </w:tbl>
    <w:p w14:paraId="4A6CCF63" w14:textId="366D948A" w:rsidR="0075505C" w:rsidRPr="001C72C8" w:rsidRDefault="0075505C" w:rsidP="001C72C8">
      <w:pPr>
        <w:pStyle w:val="Titulek"/>
        <w:suppressLineNumbers/>
        <w:spacing w:after="120"/>
        <w:rPr>
          <w:szCs w:val="22"/>
        </w:rPr>
      </w:pPr>
      <w:r w:rsidRPr="0075505C">
        <w:rPr>
          <w:szCs w:val="22"/>
        </w:rPr>
        <w:t>Tabulka</w:t>
      </w:r>
      <w:r w:rsidR="002B5C43"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8</w:t>
      </w:r>
      <w:r w:rsidRPr="0075505C">
        <w:rPr>
          <w:szCs w:val="22"/>
        </w:rPr>
        <w:fldChar w:fldCharType="end"/>
      </w:r>
      <w:r w:rsidR="002B5C43" w:rsidRPr="0075505C">
        <w:rPr>
          <w:szCs w:val="22"/>
        </w:rPr>
        <w:t>: Právní rizika Programu</w:t>
      </w:r>
    </w:p>
    <w:p w14:paraId="221EC1BA" w14:textId="060BE29D" w:rsidR="009F13AE" w:rsidRPr="004B6BFD" w:rsidRDefault="001C72C8" w:rsidP="004B6BFD">
      <w:pPr>
        <w:pStyle w:val="Nadpis1"/>
      </w:pPr>
      <w:bookmarkStart w:id="47" w:name="_Toc83296749"/>
      <w:r>
        <w:t>Par</w:t>
      </w:r>
      <w:r w:rsidR="00D428AA" w:rsidRPr="004B6BFD">
        <w:t>ametry a kritéria hodnocení programu</w:t>
      </w:r>
      <w:bookmarkEnd w:id="47"/>
    </w:p>
    <w:p w14:paraId="10FAAE07" w14:textId="77777777" w:rsidR="00E64489" w:rsidRPr="003B4314" w:rsidRDefault="00E64489" w:rsidP="009B202E">
      <w:pPr>
        <w:suppressLineNumbers/>
        <w:spacing w:after="120"/>
      </w:pPr>
      <w:r w:rsidRPr="003B4314">
        <w:t xml:space="preserve">Jako v případě předchozích programů bezpečnostního výzkumu, je i v tomto případě evaluační strategie výrazně ovlivněna zaměřením na bezpečnostní přínosy z implementace výsledků projektů </w:t>
      </w:r>
      <w:r w:rsidR="00A6509B" w:rsidRPr="003B4314">
        <w:br/>
      </w:r>
      <w:r w:rsidRPr="003B4314">
        <w:t xml:space="preserve">a soutěžním charakterem a související nepředvídatelností výsledného zaměření portfolia podpořených projektů. </w:t>
      </w:r>
    </w:p>
    <w:p w14:paraId="7BF2F185" w14:textId="77777777" w:rsidR="00CE72D6" w:rsidRPr="003B4314" w:rsidRDefault="00E64489" w:rsidP="009B202E">
      <w:pPr>
        <w:suppressLineNumbers/>
        <w:spacing w:after="120"/>
      </w:pPr>
      <w:r w:rsidRPr="003B4314">
        <w:t xml:space="preserve">Veškerá realizovaná hodnocení mají proto především formativní cíle. Od průběžně realizovaných vyhodnocení zkušeností, přes průběžný monitoring dosažení základních parametrů Programu po hodnocení závěrečné. Tomu odpovídá jak harmonogram (viz níže), tak skladba indikátorů. V souladu s požadavky MKBV2017+ se programová hodnocení soustředí především na zjišťování jeho funkčnosti, efektivity a relevance. </w:t>
      </w:r>
    </w:p>
    <w:p w14:paraId="47EA9D76" w14:textId="48AF1D93" w:rsidR="000B0456" w:rsidRPr="000B0456" w:rsidRDefault="0050567A" w:rsidP="0075505C">
      <w:pPr>
        <w:suppressLineNumbers/>
        <w:spacing w:after="120"/>
      </w:pPr>
      <w:r>
        <w:t xml:space="preserve">Ze soutěžního a otevřeného charakteru programu plyne také nutnost sledovat indikátory popisného charakteru, které neposkytují základ pro normativní výroky o hodnocených vlastnostech programu, ale dokumentují, kam podpora z programu mířila. Je nutno mít na paměti, že poskytovatel je ve veřejné soutěži především moderátorem a má jen limitní vliv na spektrum přihlášek a konsekventně také na podpořenou množinu projektů. </w:t>
      </w:r>
      <w:r w:rsidR="00E64489" w:rsidRPr="003B4314">
        <w:t>Pro hodnocení se použije následující soustava evaluačních otázek, pro průběžné hodnocení se</w:t>
      </w:r>
      <w:r w:rsidR="0075505C">
        <w:t xml:space="preserve"> použije pouze relevantní část:</w:t>
      </w:r>
    </w:p>
    <w:tbl>
      <w:tblPr>
        <w:tblStyle w:val="Mkatabulky1"/>
        <w:tblW w:w="0" w:type="auto"/>
        <w:tblLook w:val="04A0" w:firstRow="1" w:lastRow="0" w:firstColumn="1" w:lastColumn="0" w:noHBand="0" w:noVBand="1"/>
      </w:tblPr>
      <w:tblGrid>
        <w:gridCol w:w="1947"/>
        <w:gridCol w:w="891"/>
        <w:gridCol w:w="3118"/>
        <w:gridCol w:w="3106"/>
      </w:tblGrid>
      <w:tr w:rsidR="00E64489" w:rsidRPr="003B4314" w14:paraId="4769E53E" w14:textId="77777777" w:rsidTr="00546703">
        <w:trPr>
          <w:trHeight w:val="240"/>
        </w:trPr>
        <w:tc>
          <w:tcPr>
            <w:tcW w:w="1947" w:type="dxa"/>
            <w:shd w:val="clear" w:color="auto" w:fill="000000" w:themeFill="text1"/>
          </w:tcPr>
          <w:p w14:paraId="4E61E546" w14:textId="77777777" w:rsidR="00E64489" w:rsidRPr="003B4314" w:rsidRDefault="00E64489" w:rsidP="009B202E">
            <w:pPr>
              <w:suppressLineNumbers/>
              <w:spacing w:before="100" w:after="120"/>
              <w:rPr>
                <w:rFonts w:cstheme="minorHAnsi"/>
                <w:b/>
                <w:color w:val="FFFFFF"/>
              </w:rPr>
            </w:pPr>
            <w:r w:rsidRPr="003B4314">
              <w:rPr>
                <w:rFonts w:cstheme="minorHAnsi"/>
                <w:b/>
                <w:color w:val="FFFFFF"/>
              </w:rPr>
              <w:t>Sekce</w:t>
            </w:r>
          </w:p>
        </w:tc>
        <w:tc>
          <w:tcPr>
            <w:tcW w:w="891" w:type="dxa"/>
            <w:shd w:val="clear" w:color="auto" w:fill="000000" w:themeFill="text1"/>
          </w:tcPr>
          <w:p w14:paraId="1CA5856D" w14:textId="77777777" w:rsidR="00E64489" w:rsidRPr="003B4314" w:rsidRDefault="00E64489" w:rsidP="009B202E">
            <w:pPr>
              <w:suppressLineNumbers/>
              <w:spacing w:before="100" w:after="120"/>
              <w:rPr>
                <w:rFonts w:cstheme="minorHAnsi"/>
                <w:b/>
                <w:color w:val="FFFFFF"/>
              </w:rPr>
            </w:pPr>
            <w:r w:rsidRPr="003B4314">
              <w:rPr>
                <w:rFonts w:cstheme="minorHAnsi"/>
                <w:b/>
                <w:color w:val="FFFFFF"/>
              </w:rPr>
              <w:t>Hodnotí</w:t>
            </w:r>
          </w:p>
        </w:tc>
        <w:tc>
          <w:tcPr>
            <w:tcW w:w="3118" w:type="dxa"/>
            <w:shd w:val="clear" w:color="auto" w:fill="000000" w:themeFill="text1"/>
          </w:tcPr>
          <w:p w14:paraId="14FC55A8" w14:textId="77777777" w:rsidR="00E64489" w:rsidRPr="003B4314" w:rsidRDefault="00E64489" w:rsidP="009B202E">
            <w:pPr>
              <w:suppressLineNumbers/>
              <w:spacing w:before="100" w:after="120"/>
              <w:rPr>
                <w:rFonts w:cstheme="minorHAnsi"/>
                <w:b/>
                <w:color w:val="FFFFFF"/>
              </w:rPr>
            </w:pPr>
            <w:r w:rsidRPr="003B4314">
              <w:rPr>
                <w:rFonts w:cstheme="minorHAnsi"/>
                <w:b/>
                <w:color w:val="FFFFFF"/>
              </w:rPr>
              <w:t>Otázka</w:t>
            </w:r>
          </w:p>
        </w:tc>
        <w:tc>
          <w:tcPr>
            <w:tcW w:w="3106" w:type="dxa"/>
            <w:shd w:val="clear" w:color="auto" w:fill="000000" w:themeFill="text1"/>
          </w:tcPr>
          <w:p w14:paraId="2F6EC435" w14:textId="77777777" w:rsidR="00E64489" w:rsidRPr="003B4314" w:rsidRDefault="00E64489" w:rsidP="009B202E">
            <w:pPr>
              <w:suppressLineNumbers/>
              <w:spacing w:before="100" w:after="120"/>
              <w:rPr>
                <w:rFonts w:cstheme="minorHAnsi"/>
                <w:b/>
                <w:color w:val="FFFFFF"/>
              </w:rPr>
            </w:pPr>
            <w:r w:rsidRPr="003B4314">
              <w:rPr>
                <w:rFonts w:cstheme="minorHAnsi"/>
                <w:b/>
                <w:color w:val="FFFFFF"/>
              </w:rPr>
              <w:t>Indikátory</w:t>
            </w:r>
          </w:p>
        </w:tc>
      </w:tr>
      <w:tr w:rsidR="00E64489" w:rsidRPr="003B4314" w14:paraId="3A5293A7" w14:textId="77777777" w:rsidTr="00546703">
        <w:tc>
          <w:tcPr>
            <w:tcW w:w="1947" w:type="dxa"/>
            <w:vMerge w:val="restart"/>
            <w:shd w:val="clear" w:color="auto" w:fill="auto"/>
            <w:vAlign w:val="center"/>
          </w:tcPr>
          <w:p w14:paraId="448C5A02" w14:textId="77777777" w:rsidR="00E64489" w:rsidRPr="003B4314" w:rsidRDefault="00E64489" w:rsidP="009B202E">
            <w:pPr>
              <w:suppressLineNumbers/>
              <w:spacing w:before="100" w:after="120"/>
              <w:jc w:val="center"/>
              <w:rPr>
                <w:rFonts w:cstheme="minorHAnsi"/>
              </w:rPr>
            </w:pPr>
            <w:r w:rsidRPr="003B4314">
              <w:rPr>
                <w:rFonts w:cstheme="minorHAnsi"/>
              </w:rPr>
              <w:t>Implementace programu</w:t>
            </w:r>
          </w:p>
        </w:tc>
        <w:tc>
          <w:tcPr>
            <w:tcW w:w="891" w:type="dxa"/>
            <w:vMerge w:val="restart"/>
            <w:shd w:val="clear" w:color="auto" w:fill="auto"/>
            <w:textDirection w:val="btLr"/>
            <w:vAlign w:val="center"/>
          </w:tcPr>
          <w:p w14:paraId="5765DA70" w14:textId="77777777" w:rsidR="00E64489" w:rsidRPr="003B4314" w:rsidRDefault="00E64489" w:rsidP="009B202E">
            <w:pPr>
              <w:suppressLineNumbers/>
              <w:spacing w:before="100" w:after="120"/>
              <w:ind w:left="113" w:right="113"/>
              <w:jc w:val="center"/>
              <w:rPr>
                <w:rFonts w:cstheme="minorHAnsi"/>
              </w:rPr>
            </w:pPr>
            <w:r w:rsidRPr="003B4314">
              <w:rPr>
                <w:rFonts w:cstheme="minorHAnsi"/>
              </w:rPr>
              <w:t>Funkčnost</w:t>
            </w:r>
          </w:p>
        </w:tc>
        <w:tc>
          <w:tcPr>
            <w:tcW w:w="3118" w:type="dxa"/>
            <w:shd w:val="clear" w:color="auto" w:fill="auto"/>
            <w:vAlign w:val="center"/>
          </w:tcPr>
          <w:p w14:paraId="7979E11C" w14:textId="77777777" w:rsidR="00E64489" w:rsidRPr="003B4314" w:rsidRDefault="00E64489" w:rsidP="009B202E">
            <w:pPr>
              <w:suppressLineNumbers/>
              <w:spacing w:before="100" w:after="120"/>
              <w:rPr>
                <w:rFonts w:cstheme="minorHAnsi"/>
              </w:rPr>
            </w:pPr>
            <w:r w:rsidRPr="003B4314">
              <w:rPr>
                <w:rFonts w:cstheme="minorHAnsi"/>
              </w:rPr>
              <w:t>Jsou realizovány veřejné soutěže a projekty?</w:t>
            </w:r>
          </w:p>
        </w:tc>
        <w:tc>
          <w:tcPr>
            <w:tcW w:w="3106" w:type="dxa"/>
            <w:shd w:val="clear" w:color="auto" w:fill="auto"/>
            <w:vAlign w:val="center"/>
          </w:tcPr>
          <w:p w14:paraId="53BDFAFD" w14:textId="321D08C5" w:rsidR="00E64489" w:rsidRPr="003B4314" w:rsidRDefault="00E64489" w:rsidP="009B202E">
            <w:pPr>
              <w:suppressLineNumbers/>
              <w:spacing w:before="100" w:after="120"/>
              <w:rPr>
                <w:rFonts w:cstheme="minorHAnsi"/>
              </w:rPr>
            </w:pPr>
            <w:r w:rsidRPr="003B4314">
              <w:rPr>
                <w:rFonts w:cstheme="minorHAnsi"/>
              </w:rPr>
              <w:t>Milníky re</w:t>
            </w:r>
            <w:r w:rsidR="001C72C8">
              <w:rPr>
                <w:rFonts w:cstheme="minorHAnsi"/>
              </w:rPr>
              <w:t>alizace, indikátory funkčnosti p</w:t>
            </w:r>
            <w:r w:rsidRPr="003B4314">
              <w:rPr>
                <w:rFonts w:cstheme="minorHAnsi"/>
              </w:rPr>
              <w:t>rogramu, vývoj rozpočtu</w:t>
            </w:r>
          </w:p>
        </w:tc>
      </w:tr>
      <w:tr w:rsidR="006A4221" w:rsidRPr="003B4314" w14:paraId="3D6F54FE" w14:textId="77777777" w:rsidTr="00546703">
        <w:tc>
          <w:tcPr>
            <w:tcW w:w="1947" w:type="dxa"/>
            <w:vMerge/>
            <w:shd w:val="clear" w:color="auto" w:fill="auto"/>
            <w:vAlign w:val="center"/>
          </w:tcPr>
          <w:p w14:paraId="4CA6CA93" w14:textId="77777777" w:rsidR="006A4221" w:rsidRPr="003B4314" w:rsidRDefault="006A4221" w:rsidP="009B202E">
            <w:pPr>
              <w:suppressLineNumbers/>
              <w:spacing w:before="100" w:after="120"/>
              <w:jc w:val="center"/>
              <w:rPr>
                <w:rFonts w:cstheme="minorHAnsi"/>
              </w:rPr>
            </w:pPr>
          </w:p>
        </w:tc>
        <w:tc>
          <w:tcPr>
            <w:tcW w:w="891" w:type="dxa"/>
            <w:vMerge/>
            <w:shd w:val="clear" w:color="auto" w:fill="auto"/>
            <w:textDirection w:val="btLr"/>
            <w:vAlign w:val="center"/>
          </w:tcPr>
          <w:p w14:paraId="35B6585F" w14:textId="77777777" w:rsidR="006A4221" w:rsidRPr="003B4314" w:rsidRDefault="006A4221" w:rsidP="009B202E">
            <w:pPr>
              <w:suppressLineNumbers/>
              <w:spacing w:before="100" w:after="120"/>
              <w:ind w:left="113" w:right="113"/>
              <w:jc w:val="center"/>
              <w:rPr>
                <w:rFonts w:cstheme="minorHAnsi"/>
              </w:rPr>
            </w:pPr>
          </w:p>
        </w:tc>
        <w:tc>
          <w:tcPr>
            <w:tcW w:w="3118" w:type="dxa"/>
            <w:shd w:val="clear" w:color="auto" w:fill="auto"/>
            <w:vAlign w:val="center"/>
          </w:tcPr>
          <w:p w14:paraId="2F690EBA" w14:textId="0147A57E" w:rsidR="006A4221" w:rsidRPr="003B4314" w:rsidRDefault="006A4221" w:rsidP="009B202E">
            <w:pPr>
              <w:suppressLineNumbers/>
              <w:spacing w:before="100" w:after="120"/>
              <w:rPr>
                <w:rFonts w:cstheme="minorHAnsi"/>
              </w:rPr>
            </w:pPr>
            <w:r>
              <w:rPr>
                <w:rFonts w:cstheme="minorHAnsi"/>
              </w:rPr>
              <w:t xml:space="preserve">Je program adekvátně finančně zajištěn? </w:t>
            </w:r>
          </w:p>
        </w:tc>
        <w:tc>
          <w:tcPr>
            <w:tcW w:w="3106" w:type="dxa"/>
            <w:shd w:val="clear" w:color="auto" w:fill="auto"/>
            <w:vAlign w:val="center"/>
          </w:tcPr>
          <w:p w14:paraId="6C66C3B8" w14:textId="1531ED19" w:rsidR="006A4221" w:rsidRPr="003B4314" w:rsidRDefault="006A4221" w:rsidP="009B202E">
            <w:pPr>
              <w:suppressLineNumbers/>
              <w:spacing w:before="100" w:after="120"/>
              <w:rPr>
                <w:rFonts w:cstheme="minorHAnsi"/>
              </w:rPr>
            </w:pPr>
            <w:r>
              <w:rPr>
                <w:rFonts w:cstheme="minorHAnsi"/>
              </w:rPr>
              <w:t>Rozpočtová alokace v letech; řízení finančních alokací pro programy podle poptávky</w:t>
            </w:r>
            <w:r w:rsidR="005E0AB0">
              <w:rPr>
                <w:rFonts w:cstheme="minorHAnsi"/>
              </w:rPr>
              <w:t>; spoluúčast příjemců</w:t>
            </w:r>
          </w:p>
        </w:tc>
      </w:tr>
      <w:tr w:rsidR="00E64489" w:rsidRPr="003B4314" w14:paraId="1F1A4660" w14:textId="77777777" w:rsidTr="00546703">
        <w:tc>
          <w:tcPr>
            <w:tcW w:w="1947" w:type="dxa"/>
            <w:vMerge/>
            <w:shd w:val="clear" w:color="auto" w:fill="auto"/>
            <w:vAlign w:val="center"/>
          </w:tcPr>
          <w:p w14:paraId="0CF73C0C" w14:textId="77777777" w:rsidR="00E64489" w:rsidRPr="003B4314" w:rsidRDefault="00E64489" w:rsidP="009B202E">
            <w:pPr>
              <w:suppressLineNumbers/>
              <w:spacing w:before="100" w:after="120"/>
              <w:jc w:val="center"/>
              <w:rPr>
                <w:rFonts w:cstheme="minorHAnsi"/>
              </w:rPr>
            </w:pPr>
          </w:p>
        </w:tc>
        <w:tc>
          <w:tcPr>
            <w:tcW w:w="891" w:type="dxa"/>
            <w:vMerge/>
            <w:shd w:val="clear" w:color="auto" w:fill="auto"/>
            <w:textDirection w:val="btLr"/>
            <w:vAlign w:val="center"/>
          </w:tcPr>
          <w:p w14:paraId="03C74BB0" w14:textId="77777777" w:rsidR="00E64489" w:rsidRPr="003B4314" w:rsidRDefault="00E64489" w:rsidP="009B202E">
            <w:pPr>
              <w:suppressLineNumbers/>
              <w:spacing w:before="100" w:after="120"/>
              <w:ind w:left="113" w:right="113"/>
              <w:jc w:val="center"/>
              <w:rPr>
                <w:rFonts w:cstheme="minorHAnsi"/>
              </w:rPr>
            </w:pPr>
          </w:p>
        </w:tc>
        <w:tc>
          <w:tcPr>
            <w:tcW w:w="3118" w:type="dxa"/>
            <w:shd w:val="clear" w:color="auto" w:fill="auto"/>
            <w:vAlign w:val="center"/>
          </w:tcPr>
          <w:p w14:paraId="0FAF62AD" w14:textId="77777777" w:rsidR="00E64489" w:rsidRPr="003B4314" w:rsidRDefault="00E64489" w:rsidP="009B202E">
            <w:pPr>
              <w:suppressLineNumbers/>
              <w:spacing w:before="100" w:after="120"/>
              <w:rPr>
                <w:rFonts w:cstheme="minorHAnsi"/>
              </w:rPr>
            </w:pPr>
            <w:r w:rsidRPr="003B4314">
              <w:rPr>
                <w:rFonts w:cstheme="minorHAnsi"/>
              </w:rPr>
              <w:t>Jsou používané metody výběru projektů správné?</w:t>
            </w:r>
            <w:r w:rsidRPr="003B4314">
              <w:rPr>
                <w:rFonts w:cstheme="minorHAnsi"/>
                <w:vertAlign w:val="superscript"/>
              </w:rPr>
              <w:footnoteReference w:id="15"/>
            </w:r>
          </w:p>
        </w:tc>
        <w:tc>
          <w:tcPr>
            <w:tcW w:w="3106" w:type="dxa"/>
            <w:shd w:val="clear" w:color="auto" w:fill="auto"/>
            <w:vAlign w:val="center"/>
          </w:tcPr>
          <w:p w14:paraId="5669421D" w14:textId="77777777" w:rsidR="00E64489" w:rsidRPr="003B4314" w:rsidRDefault="00E64489" w:rsidP="009B202E">
            <w:pPr>
              <w:suppressLineNumbers/>
              <w:spacing w:before="100" w:after="120"/>
              <w:rPr>
                <w:rFonts w:cstheme="minorHAnsi"/>
              </w:rPr>
            </w:pPr>
            <w:r w:rsidRPr="003B4314">
              <w:rPr>
                <w:rFonts w:cstheme="minorHAnsi"/>
              </w:rPr>
              <w:t>Výběrové postupy podle zákona, podle programu, výstupy z hodnocení, chybovost přihlášek</w:t>
            </w:r>
          </w:p>
        </w:tc>
      </w:tr>
      <w:tr w:rsidR="00E64489" w:rsidRPr="003B4314" w14:paraId="0D0A3A91" w14:textId="77777777" w:rsidTr="00546703">
        <w:tc>
          <w:tcPr>
            <w:tcW w:w="1947" w:type="dxa"/>
            <w:vMerge/>
            <w:vAlign w:val="center"/>
          </w:tcPr>
          <w:p w14:paraId="4E0AA3AC" w14:textId="77777777" w:rsidR="00E64489" w:rsidRPr="003B4314" w:rsidRDefault="00E64489" w:rsidP="009B202E">
            <w:pPr>
              <w:suppressLineNumbers/>
              <w:spacing w:before="100" w:after="120"/>
              <w:jc w:val="center"/>
              <w:rPr>
                <w:rFonts w:cstheme="minorHAnsi"/>
              </w:rPr>
            </w:pPr>
          </w:p>
        </w:tc>
        <w:tc>
          <w:tcPr>
            <w:tcW w:w="891" w:type="dxa"/>
            <w:vMerge/>
            <w:vAlign w:val="center"/>
          </w:tcPr>
          <w:p w14:paraId="0935CC50" w14:textId="77777777" w:rsidR="00E64489" w:rsidRPr="003B4314" w:rsidRDefault="00E64489" w:rsidP="009B202E">
            <w:pPr>
              <w:suppressLineNumbers/>
              <w:spacing w:before="100" w:after="120"/>
              <w:jc w:val="center"/>
              <w:rPr>
                <w:rFonts w:cstheme="minorHAnsi"/>
              </w:rPr>
            </w:pPr>
          </w:p>
        </w:tc>
        <w:tc>
          <w:tcPr>
            <w:tcW w:w="3118" w:type="dxa"/>
            <w:vAlign w:val="center"/>
          </w:tcPr>
          <w:p w14:paraId="6FEBCFD5" w14:textId="77777777" w:rsidR="00E64489" w:rsidRPr="003B4314" w:rsidRDefault="00E64489" w:rsidP="009B202E">
            <w:pPr>
              <w:suppressLineNumbers/>
              <w:spacing w:before="100" w:after="120"/>
              <w:rPr>
                <w:rFonts w:cstheme="minorHAnsi"/>
              </w:rPr>
            </w:pPr>
            <w:r w:rsidRPr="003B4314">
              <w:rPr>
                <w:rFonts w:cstheme="minorHAnsi"/>
              </w:rPr>
              <w:t xml:space="preserve">Je podpora předpokládaným způsobem diverzifikovaná? </w:t>
            </w:r>
          </w:p>
        </w:tc>
        <w:tc>
          <w:tcPr>
            <w:tcW w:w="3106" w:type="dxa"/>
            <w:vAlign w:val="center"/>
          </w:tcPr>
          <w:p w14:paraId="4491161D" w14:textId="57E011CB" w:rsidR="00E64489" w:rsidRPr="003B4314" w:rsidRDefault="00E64489" w:rsidP="0080334E">
            <w:pPr>
              <w:suppressLineNumbers/>
              <w:spacing w:before="100" w:after="120"/>
              <w:rPr>
                <w:rFonts w:cstheme="minorHAnsi"/>
              </w:rPr>
            </w:pPr>
            <w:r w:rsidRPr="003B4314">
              <w:rPr>
                <w:rFonts w:cstheme="minorHAnsi"/>
              </w:rPr>
              <w:t xml:space="preserve">Obory v programu, subjekty v programu, zastoupení věcných </w:t>
            </w:r>
            <w:r w:rsidRPr="003B4314">
              <w:rPr>
                <w:rFonts w:cstheme="minorHAnsi"/>
              </w:rPr>
              <w:lastRenderedPageBreak/>
              <w:t>priorit</w:t>
            </w:r>
            <w:r w:rsidRPr="003B4314">
              <w:rPr>
                <w:rFonts w:cstheme="minorHAnsi"/>
                <w:vertAlign w:val="superscript"/>
              </w:rPr>
              <w:footnoteReference w:id="16"/>
            </w:r>
            <w:r w:rsidRPr="003B4314">
              <w:rPr>
                <w:rFonts w:cstheme="minorHAnsi"/>
              </w:rPr>
              <w:t>, zastoupení uživatelských organizací mezi odbornými gestory</w:t>
            </w:r>
          </w:p>
        </w:tc>
      </w:tr>
      <w:tr w:rsidR="00E64489" w:rsidRPr="003B4314" w14:paraId="22E4C928" w14:textId="77777777" w:rsidTr="00546703">
        <w:tc>
          <w:tcPr>
            <w:tcW w:w="1947" w:type="dxa"/>
            <w:vMerge/>
          </w:tcPr>
          <w:p w14:paraId="5C7592F5" w14:textId="77777777" w:rsidR="00E64489" w:rsidRPr="003B4314" w:rsidRDefault="00E64489" w:rsidP="009B202E">
            <w:pPr>
              <w:suppressLineNumbers/>
              <w:spacing w:before="100" w:after="120"/>
              <w:rPr>
                <w:rFonts w:cstheme="minorHAnsi"/>
              </w:rPr>
            </w:pPr>
          </w:p>
        </w:tc>
        <w:tc>
          <w:tcPr>
            <w:tcW w:w="891" w:type="dxa"/>
            <w:vMerge/>
          </w:tcPr>
          <w:p w14:paraId="2593A962" w14:textId="77777777" w:rsidR="00E64489" w:rsidRPr="003B4314" w:rsidRDefault="00E64489" w:rsidP="009B202E">
            <w:pPr>
              <w:suppressLineNumbers/>
              <w:spacing w:before="100" w:after="120"/>
              <w:jc w:val="center"/>
              <w:rPr>
                <w:rFonts w:cstheme="minorHAnsi"/>
              </w:rPr>
            </w:pPr>
          </w:p>
        </w:tc>
        <w:tc>
          <w:tcPr>
            <w:tcW w:w="3118" w:type="dxa"/>
            <w:vAlign w:val="center"/>
          </w:tcPr>
          <w:p w14:paraId="2CD5C90E" w14:textId="77777777" w:rsidR="00E64489" w:rsidRPr="003B4314" w:rsidRDefault="00E64489" w:rsidP="009B202E">
            <w:pPr>
              <w:suppressLineNumbers/>
              <w:spacing w:before="100" w:after="120"/>
              <w:rPr>
                <w:rFonts w:cstheme="minorHAnsi"/>
              </w:rPr>
            </w:pPr>
            <w:r w:rsidRPr="003B4314">
              <w:rPr>
                <w:rFonts w:cstheme="minorHAnsi"/>
              </w:rPr>
              <w:t>Je správně prováděno monitorování projektů?</w:t>
            </w:r>
            <w:r w:rsidRPr="003B4314">
              <w:rPr>
                <w:rFonts w:cstheme="minorHAnsi"/>
                <w:vertAlign w:val="superscript"/>
              </w:rPr>
              <w:t xml:space="preserve"> </w:t>
            </w:r>
            <w:r w:rsidRPr="003B4314">
              <w:rPr>
                <w:rFonts w:cstheme="minorHAnsi"/>
                <w:vertAlign w:val="superscript"/>
              </w:rPr>
              <w:footnoteReference w:id="17"/>
            </w:r>
          </w:p>
        </w:tc>
        <w:tc>
          <w:tcPr>
            <w:tcW w:w="3106" w:type="dxa"/>
            <w:vAlign w:val="center"/>
          </w:tcPr>
          <w:p w14:paraId="208ED742" w14:textId="77777777" w:rsidR="00E64489" w:rsidRPr="003B4314" w:rsidRDefault="00E64489" w:rsidP="009B202E">
            <w:pPr>
              <w:suppressLineNumbers/>
              <w:spacing w:before="100" w:after="120"/>
              <w:rPr>
                <w:rFonts w:cstheme="minorHAnsi"/>
              </w:rPr>
            </w:pPr>
            <w:r w:rsidRPr="003B4314">
              <w:rPr>
                <w:rFonts w:cstheme="minorHAnsi"/>
              </w:rPr>
              <w:t>Kontrolní činnost v souladu s legislativou, výstupy kontrolní činnosti</w:t>
            </w:r>
          </w:p>
        </w:tc>
      </w:tr>
      <w:tr w:rsidR="00E64489" w:rsidRPr="003B4314" w14:paraId="0E03968D" w14:textId="77777777" w:rsidTr="00546703">
        <w:tc>
          <w:tcPr>
            <w:tcW w:w="1947" w:type="dxa"/>
            <w:vMerge w:val="restart"/>
            <w:vAlign w:val="center"/>
          </w:tcPr>
          <w:p w14:paraId="3E05D6A1" w14:textId="77777777" w:rsidR="00E64489" w:rsidRPr="003B4314" w:rsidRDefault="00E64489" w:rsidP="009B202E">
            <w:pPr>
              <w:suppressLineNumbers/>
              <w:spacing w:before="100" w:after="120"/>
              <w:jc w:val="center"/>
              <w:rPr>
                <w:rFonts w:cstheme="minorHAnsi"/>
              </w:rPr>
            </w:pPr>
            <w:r w:rsidRPr="003B4314">
              <w:rPr>
                <w:rFonts w:cstheme="minorHAnsi"/>
              </w:rPr>
              <w:t>Cíle programu</w:t>
            </w:r>
          </w:p>
        </w:tc>
        <w:tc>
          <w:tcPr>
            <w:tcW w:w="891" w:type="dxa"/>
            <w:vMerge w:val="restart"/>
            <w:textDirection w:val="btLr"/>
            <w:vAlign w:val="center"/>
          </w:tcPr>
          <w:p w14:paraId="0107A2D4" w14:textId="77777777" w:rsidR="00E64489" w:rsidRPr="003B4314" w:rsidRDefault="00E64489" w:rsidP="009B202E">
            <w:pPr>
              <w:suppressLineNumbers/>
              <w:spacing w:before="100" w:after="120"/>
              <w:ind w:left="113" w:right="113"/>
              <w:jc w:val="center"/>
              <w:rPr>
                <w:rFonts w:cstheme="minorHAnsi"/>
              </w:rPr>
            </w:pPr>
            <w:r w:rsidRPr="003B4314">
              <w:rPr>
                <w:rFonts w:cstheme="minorHAnsi"/>
              </w:rPr>
              <w:t>Efektivita</w:t>
            </w:r>
          </w:p>
        </w:tc>
        <w:tc>
          <w:tcPr>
            <w:tcW w:w="3118" w:type="dxa"/>
            <w:vAlign w:val="center"/>
          </w:tcPr>
          <w:p w14:paraId="1CFE454E" w14:textId="77777777" w:rsidR="00E64489" w:rsidRPr="003B4314" w:rsidRDefault="00E64489" w:rsidP="009B202E">
            <w:pPr>
              <w:suppressLineNumbers/>
              <w:spacing w:before="100" w:after="120"/>
              <w:rPr>
                <w:rFonts w:cstheme="minorHAnsi"/>
              </w:rPr>
            </w:pPr>
            <w:r w:rsidRPr="003B4314">
              <w:rPr>
                <w:rFonts w:cstheme="minorHAnsi"/>
              </w:rPr>
              <w:t>Jaká je stávající míra naplnění cílů?</w:t>
            </w:r>
          </w:p>
        </w:tc>
        <w:tc>
          <w:tcPr>
            <w:tcW w:w="3106" w:type="dxa"/>
            <w:vAlign w:val="center"/>
          </w:tcPr>
          <w:p w14:paraId="61B59435" w14:textId="77777777" w:rsidR="00E64489" w:rsidRPr="003B4314" w:rsidRDefault="00E64489" w:rsidP="009B202E">
            <w:pPr>
              <w:suppressLineNumbers/>
              <w:spacing w:before="100" w:after="120"/>
              <w:rPr>
                <w:rFonts w:cstheme="minorHAnsi"/>
              </w:rPr>
            </w:pPr>
            <w:r w:rsidRPr="003B4314">
              <w:rPr>
                <w:rFonts w:cstheme="minorHAnsi"/>
              </w:rPr>
              <w:t>Minimální počty projektů a výsledků podle indikátorů efektivity programu</w:t>
            </w:r>
          </w:p>
        </w:tc>
      </w:tr>
      <w:tr w:rsidR="005E0AB0" w:rsidRPr="003B4314" w14:paraId="524210CC" w14:textId="77777777" w:rsidTr="00546703">
        <w:tc>
          <w:tcPr>
            <w:tcW w:w="1947" w:type="dxa"/>
            <w:vMerge/>
            <w:vAlign w:val="center"/>
          </w:tcPr>
          <w:p w14:paraId="2008BE70" w14:textId="77777777" w:rsidR="005E0AB0" w:rsidRPr="003B4314" w:rsidRDefault="005E0AB0" w:rsidP="009B202E">
            <w:pPr>
              <w:suppressLineNumbers/>
              <w:spacing w:before="100" w:after="120"/>
              <w:jc w:val="center"/>
              <w:rPr>
                <w:rFonts w:cstheme="minorHAnsi"/>
              </w:rPr>
            </w:pPr>
          </w:p>
        </w:tc>
        <w:tc>
          <w:tcPr>
            <w:tcW w:w="891" w:type="dxa"/>
            <w:vMerge/>
            <w:textDirection w:val="btLr"/>
            <w:vAlign w:val="center"/>
          </w:tcPr>
          <w:p w14:paraId="0A7E91D4" w14:textId="77777777" w:rsidR="005E0AB0" w:rsidRPr="003B4314" w:rsidRDefault="005E0AB0" w:rsidP="009B202E">
            <w:pPr>
              <w:suppressLineNumbers/>
              <w:spacing w:before="100" w:after="120"/>
              <w:ind w:left="113" w:right="113"/>
              <w:jc w:val="center"/>
              <w:rPr>
                <w:rFonts w:cstheme="minorHAnsi"/>
              </w:rPr>
            </w:pPr>
          </w:p>
        </w:tc>
        <w:tc>
          <w:tcPr>
            <w:tcW w:w="3118" w:type="dxa"/>
            <w:vAlign w:val="center"/>
          </w:tcPr>
          <w:p w14:paraId="34AD1BE7" w14:textId="4A4DF67B" w:rsidR="005E0AB0" w:rsidRPr="003B4314" w:rsidRDefault="005E0AB0" w:rsidP="009B202E">
            <w:pPr>
              <w:suppressLineNumbers/>
              <w:spacing w:before="100" w:after="120"/>
              <w:rPr>
                <w:rFonts w:cstheme="minorHAnsi"/>
              </w:rPr>
            </w:pPr>
            <w:r>
              <w:rPr>
                <w:rFonts w:cstheme="minorHAnsi"/>
              </w:rPr>
              <w:t xml:space="preserve">Jaké jsou ekonomické parametry programu? </w:t>
            </w:r>
          </w:p>
        </w:tc>
        <w:tc>
          <w:tcPr>
            <w:tcW w:w="3106" w:type="dxa"/>
            <w:vAlign w:val="center"/>
          </w:tcPr>
          <w:p w14:paraId="701434FF" w14:textId="7CA8D02F" w:rsidR="005E0AB0" w:rsidRPr="003B4314" w:rsidRDefault="005E0AB0" w:rsidP="004B6BFD">
            <w:pPr>
              <w:suppressLineNumbers/>
              <w:spacing w:before="100" w:after="120"/>
              <w:jc w:val="left"/>
              <w:rPr>
                <w:rFonts w:cstheme="minorHAnsi"/>
              </w:rPr>
            </w:pPr>
            <w:r>
              <w:rPr>
                <w:rFonts w:cstheme="minorHAnsi"/>
              </w:rPr>
              <w:t xml:space="preserve">Podpořená pracovní místa, přímo zpět do SR, financování infrastruktury (využití kapacit v projektech) </w:t>
            </w:r>
          </w:p>
        </w:tc>
      </w:tr>
      <w:tr w:rsidR="00E64489" w:rsidRPr="003B4314" w14:paraId="751C7B19" w14:textId="77777777" w:rsidTr="00546703">
        <w:tc>
          <w:tcPr>
            <w:tcW w:w="1947" w:type="dxa"/>
            <w:vMerge/>
            <w:vAlign w:val="center"/>
          </w:tcPr>
          <w:p w14:paraId="3AB36090" w14:textId="77777777" w:rsidR="00E64489" w:rsidRPr="003B4314" w:rsidRDefault="00E64489" w:rsidP="009B202E">
            <w:pPr>
              <w:suppressLineNumbers/>
              <w:spacing w:before="100" w:after="120"/>
              <w:jc w:val="center"/>
              <w:rPr>
                <w:rFonts w:cstheme="minorHAnsi"/>
              </w:rPr>
            </w:pPr>
          </w:p>
        </w:tc>
        <w:tc>
          <w:tcPr>
            <w:tcW w:w="891" w:type="dxa"/>
            <w:vMerge/>
            <w:textDirection w:val="btLr"/>
            <w:vAlign w:val="center"/>
          </w:tcPr>
          <w:p w14:paraId="0E8C36C7" w14:textId="77777777" w:rsidR="00E64489" w:rsidRPr="003B4314" w:rsidRDefault="00E64489" w:rsidP="009B202E">
            <w:pPr>
              <w:suppressLineNumbers/>
              <w:spacing w:before="100" w:after="120"/>
              <w:ind w:left="113" w:right="113"/>
              <w:jc w:val="center"/>
              <w:rPr>
                <w:rFonts w:cstheme="minorHAnsi"/>
              </w:rPr>
            </w:pPr>
          </w:p>
        </w:tc>
        <w:tc>
          <w:tcPr>
            <w:tcW w:w="3118" w:type="dxa"/>
            <w:vAlign w:val="center"/>
          </w:tcPr>
          <w:p w14:paraId="341E2831" w14:textId="77777777" w:rsidR="00E64489" w:rsidRPr="003B4314" w:rsidRDefault="00E64489" w:rsidP="009B202E">
            <w:pPr>
              <w:suppressLineNumbers/>
              <w:spacing w:before="100" w:after="120"/>
              <w:jc w:val="left"/>
              <w:rPr>
                <w:rFonts w:cstheme="minorHAnsi"/>
              </w:rPr>
            </w:pPr>
            <w:r w:rsidRPr="003B4314">
              <w:rPr>
                <w:rFonts w:cstheme="minorHAnsi"/>
              </w:rPr>
              <w:t>Jaká je efektivita programu z hlediska předpokládaných výstupů?</w:t>
            </w:r>
          </w:p>
        </w:tc>
        <w:tc>
          <w:tcPr>
            <w:tcW w:w="3106" w:type="dxa"/>
            <w:vAlign w:val="center"/>
          </w:tcPr>
          <w:p w14:paraId="03F8A69D" w14:textId="77777777" w:rsidR="00E64489" w:rsidRPr="003B4314" w:rsidRDefault="00E64489" w:rsidP="009B202E">
            <w:pPr>
              <w:suppressLineNumbers/>
              <w:spacing w:before="100" w:after="120"/>
              <w:rPr>
                <w:rFonts w:cstheme="minorHAnsi"/>
              </w:rPr>
            </w:pPr>
            <w:r w:rsidRPr="003B4314">
              <w:rPr>
                <w:rFonts w:cstheme="minorHAnsi"/>
              </w:rPr>
              <w:t>Kvalita výsledků programu, hodnocení ukončených projektů</w:t>
            </w:r>
          </w:p>
        </w:tc>
      </w:tr>
      <w:tr w:rsidR="00E64489" w:rsidRPr="003B4314" w14:paraId="2CDC123C" w14:textId="77777777" w:rsidTr="00546703">
        <w:tc>
          <w:tcPr>
            <w:tcW w:w="1947" w:type="dxa"/>
            <w:vMerge/>
            <w:vAlign w:val="center"/>
          </w:tcPr>
          <w:p w14:paraId="60AB5269" w14:textId="77777777" w:rsidR="00E64489" w:rsidRPr="003B4314" w:rsidRDefault="00E64489" w:rsidP="009B202E">
            <w:pPr>
              <w:suppressLineNumbers/>
              <w:spacing w:before="100" w:after="120"/>
              <w:jc w:val="center"/>
              <w:rPr>
                <w:rFonts w:cstheme="minorHAnsi"/>
              </w:rPr>
            </w:pPr>
          </w:p>
        </w:tc>
        <w:tc>
          <w:tcPr>
            <w:tcW w:w="891" w:type="dxa"/>
            <w:vMerge/>
            <w:vAlign w:val="center"/>
          </w:tcPr>
          <w:p w14:paraId="27856861" w14:textId="77777777" w:rsidR="00E64489" w:rsidRPr="003B4314" w:rsidRDefault="00E64489" w:rsidP="009B202E">
            <w:pPr>
              <w:suppressLineNumbers/>
              <w:spacing w:before="100" w:after="120"/>
              <w:jc w:val="center"/>
              <w:rPr>
                <w:rFonts w:cstheme="minorHAnsi"/>
              </w:rPr>
            </w:pPr>
          </w:p>
        </w:tc>
        <w:tc>
          <w:tcPr>
            <w:tcW w:w="3118" w:type="dxa"/>
            <w:vAlign w:val="center"/>
          </w:tcPr>
          <w:p w14:paraId="440209BC" w14:textId="77777777" w:rsidR="00E64489" w:rsidRPr="003B4314" w:rsidRDefault="00E64489" w:rsidP="009B202E">
            <w:pPr>
              <w:suppressLineNumbers/>
              <w:spacing w:before="100" w:after="120"/>
              <w:rPr>
                <w:rFonts w:cstheme="minorHAnsi"/>
              </w:rPr>
            </w:pPr>
            <w:r w:rsidRPr="003B4314">
              <w:rPr>
                <w:rFonts w:cstheme="minorHAnsi"/>
              </w:rPr>
              <w:t>Jaký je bezpečnostní přínos výsledků programu?</w:t>
            </w:r>
          </w:p>
        </w:tc>
        <w:tc>
          <w:tcPr>
            <w:tcW w:w="3106" w:type="dxa"/>
            <w:vAlign w:val="center"/>
          </w:tcPr>
          <w:p w14:paraId="1D3C497D" w14:textId="77777777" w:rsidR="00E64489" w:rsidRPr="003B4314" w:rsidRDefault="00E64489" w:rsidP="009B202E">
            <w:pPr>
              <w:suppressLineNumbers/>
              <w:spacing w:before="100" w:after="120"/>
              <w:rPr>
                <w:rFonts w:cstheme="minorHAnsi"/>
              </w:rPr>
            </w:pPr>
            <w:r w:rsidRPr="003B4314">
              <w:rPr>
                <w:rFonts w:cstheme="minorHAnsi"/>
              </w:rPr>
              <w:t>Statistika hodnocení uživatelského přínosu výsledků podle priorit MKBV2017+ a podle zájmových oblastí BV</w:t>
            </w:r>
          </w:p>
        </w:tc>
      </w:tr>
      <w:tr w:rsidR="00E64489" w:rsidRPr="003B4314" w14:paraId="5D294B44" w14:textId="77777777" w:rsidTr="00546703">
        <w:tc>
          <w:tcPr>
            <w:tcW w:w="1947" w:type="dxa"/>
            <w:vMerge w:val="restart"/>
            <w:vAlign w:val="center"/>
          </w:tcPr>
          <w:p w14:paraId="11B448C3" w14:textId="77777777" w:rsidR="00E64489" w:rsidRPr="003B4314" w:rsidRDefault="00E64489" w:rsidP="009B202E">
            <w:pPr>
              <w:suppressLineNumbers/>
              <w:spacing w:before="100" w:after="120"/>
              <w:jc w:val="center"/>
              <w:rPr>
                <w:rFonts w:cstheme="minorHAnsi"/>
              </w:rPr>
            </w:pPr>
            <w:r w:rsidRPr="003B4314">
              <w:rPr>
                <w:rFonts w:cstheme="minorHAnsi"/>
              </w:rPr>
              <w:t>Další charakteristiky programu</w:t>
            </w:r>
          </w:p>
        </w:tc>
        <w:tc>
          <w:tcPr>
            <w:tcW w:w="891" w:type="dxa"/>
            <w:vMerge w:val="restart"/>
            <w:textDirection w:val="btLr"/>
            <w:vAlign w:val="center"/>
          </w:tcPr>
          <w:p w14:paraId="4C5826D3" w14:textId="77777777" w:rsidR="00E64489" w:rsidRPr="003B4314" w:rsidRDefault="00E64489" w:rsidP="009B202E">
            <w:pPr>
              <w:suppressLineNumbers/>
              <w:spacing w:before="100" w:after="120"/>
              <w:ind w:left="113" w:right="113"/>
              <w:jc w:val="center"/>
              <w:rPr>
                <w:rFonts w:cstheme="minorHAnsi"/>
              </w:rPr>
            </w:pPr>
            <w:r w:rsidRPr="003B4314">
              <w:rPr>
                <w:rFonts w:cstheme="minorHAnsi"/>
              </w:rPr>
              <w:t>Relevance</w:t>
            </w:r>
          </w:p>
        </w:tc>
        <w:tc>
          <w:tcPr>
            <w:tcW w:w="3118" w:type="dxa"/>
            <w:vAlign w:val="center"/>
          </w:tcPr>
          <w:p w14:paraId="6CD63927" w14:textId="77777777" w:rsidR="00E64489" w:rsidRPr="003B4314" w:rsidRDefault="00E64489" w:rsidP="009B202E">
            <w:pPr>
              <w:suppressLineNumbers/>
              <w:spacing w:before="100" w:after="120"/>
              <w:rPr>
                <w:rFonts w:cstheme="minorHAnsi"/>
              </w:rPr>
            </w:pPr>
            <w:r w:rsidRPr="003B4314">
              <w:rPr>
                <w:rFonts w:cstheme="minorHAnsi"/>
              </w:rPr>
              <w:t>Mají podané návrhy projektů ambice naplnit cíle Programu?</w:t>
            </w:r>
            <w:r w:rsidRPr="003B4314">
              <w:rPr>
                <w:rFonts w:cstheme="minorHAnsi"/>
                <w:vertAlign w:val="superscript"/>
              </w:rPr>
              <w:t xml:space="preserve"> </w:t>
            </w:r>
            <w:r w:rsidRPr="003B4314">
              <w:rPr>
                <w:rFonts w:cstheme="minorHAnsi"/>
                <w:vertAlign w:val="superscript"/>
              </w:rPr>
              <w:footnoteReference w:id="18"/>
            </w:r>
          </w:p>
        </w:tc>
        <w:tc>
          <w:tcPr>
            <w:tcW w:w="3106" w:type="dxa"/>
            <w:vAlign w:val="center"/>
          </w:tcPr>
          <w:p w14:paraId="715B7876" w14:textId="69F87721" w:rsidR="00E64489" w:rsidRPr="003B4314" w:rsidRDefault="00E64489" w:rsidP="009B202E">
            <w:pPr>
              <w:suppressLineNumbers/>
              <w:spacing w:before="100" w:after="120"/>
              <w:rPr>
                <w:rFonts w:cstheme="minorHAnsi"/>
              </w:rPr>
            </w:pPr>
            <w:r w:rsidRPr="003B4314">
              <w:rPr>
                <w:rFonts w:cstheme="minorHAnsi"/>
              </w:rPr>
              <w:t>Zastoupení cílů</w:t>
            </w:r>
            <w:r w:rsidR="005E0AB0">
              <w:rPr>
                <w:rFonts w:cstheme="minorHAnsi"/>
              </w:rPr>
              <w:t xml:space="preserve"> a témat</w:t>
            </w:r>
            <w:r w:rsidRPr="003B4314">
              <w:rPr>
                <w:rFonts w:cstheme="minorHAnsi"/>
              </w:rPr>
              <w:t xml:space="preserve"> v přihláškách a na podpoře, přihlášky mimo BV</w:t>
            </w:r>
            <w:r w:rsidR="0047749C">
              <w:rPr>
                <w:rFonts w:cstheme="minorHAnsi"/>
              </w:rPr>
              <w:t>, počet projektů v oblasti environmentální bezpečnosti</w:t>
            </w:r>
            <w:r w:rsidR="0047749C">
              <w:rPr>
                <w:rStyle w:val="Znakapoznpodarou"/>
                <w:rFonts w:cstheme="minorHAnsi"/>
              </w:rPr>
              <w:footnoteReference w:id="19"/>
            </w:r>
          </w:p>
        </w:tc>
      </w:tr>
      <w:tr w:rsidR="00E64489" w:rsidRPr="003B4314" w14:paraId="2A0252BF" w14:textId="77777777" w:rsidTr="00546703">
        <w:tc>
          <w:tcPr>
            <w:tcW w:w="1947" w:type="dxa"/>
            <w:vMerge/>
            <w:vAlign w:val="center"/>
          </w:tcPr>
          <w:p w14:paraId="1439480C" w14:textId="77777777" w:rsidR="00E64489" w:rsidRPr="003B4314" w:rsidRDefault="00E64489" w:rsidP="009B202E">
            <w:pPr>
              <w:suppressLineNumbers/>
              <w:spacing w:before="100" w:after="120"/>
              <w:jc w:val="center"/>
              <w:rPr>
                <w:rFonts w:cstheme="minorHAnsi"/>
              </w:rPr>
            </w:pPr>
          </w:p>
        </w:tc>
        <w:tc>
          <w:tcPr>
            <w:tcW w:w="891" w:type="dxa"/>
            <w:vMerge/>
            <w:textDirection w:val="btLr"/>
            <w:vAlign w:val="center"/>
          </w:tcPr>
          <w:p w14:paraId="748DADC0" w14:textId="77777777" w:rsidR="00E64489" w:rsidRPr="003B4314" w:rsidRDefault="00E64489" w:rsidP="009B202E">
            <w:pPr>
              <w:suppressLineNumbers/>
              <w:spacing w:before="100" w:after="120"/>
              <w:ind w:left="113" w:right="113"/>
              <w:jc w:val="center"/>
              <w:rPr>
                <w:rFonts w:cstheme="minorHAnsi"/>
              </w:rPr>
            </w:pPr>
          </w:p>
        </w:tc>
        <w:tc>
          <w:tcPr>
            <w:tcW w:w="3118" w:type="dxa"/>
            <w:vAlign w:val="center"/>
          </w:tcPr>
          <w:p w14:paraId="7A4FA432" w14:textId="77777777" w:rsidR="00E64489" w:rsidRPr="003B4314" w:rsidRDefault="00E64489" w:rsidP="009B202E">
            <w:pPr>
              <w:suppressLineNumbers/>
              <w:spacing w:before="100" w:after="120"/>
              <w:rPr>
                <w:rFonts w:cstheme="minorHAnsi"/>
              </w:rPr>
            </w:pPr>
            <w:r w:rsidRPr="003B4314">
              <w:rPr>
                <w:rFonts w:cstheme="minorHAnsi"/>
              </w:rPr>
              <w:t>Je program relevantní z hlediska portfolia bezpečnostního výzkumu?</w:t>
            </w:r>
          </w:p>
        </w:tc>
        <w:tc>
          <w:tcPr>
            <w:tcW w:w="3106" w:type="dxa"/>
            <w:vAlign w:val="center"/>
          </w:tcPr>
          <w:p w14:paraId="5C5AFF55" w14:textId="32A07158" w:rsidR="00E64489" w:rsidRPr="003B4314" w:rsidRDefault="00E64489" w:rsidP="00E90821">
            <w:pPr>
              <w:suppressLineNumbers/>
              <w:spacing w:before="100" w:after="120"/>
              <w:rPr>
                <w:rFonts w:cstheme="minorHAnsi"/>
              </w:rPr>
            </w:pPr>
            <w:r w:rsidRPr="003B4314">
              <w:rPr>
                <w:rFonts w:cstheme="minorHAnsi"/>
              </w:rPr>
              <w:t xml:space="preserve">Zaměření projektů ve srovnání s programy IP, </w:t>
            </w:r>
            <w:r w:rsidR="001C72C8">
              <w:rPr>
                <w:rFonts w:cstheme="minorHAnsi"/>
              </w:rPr>
              <w:t>SecPro</w:t>
            </w:r>
            <w:r w:rsidR="00A57D6B" w:rsidRPr="003B4314">
              <w:rPr>
                <w:rFonts w:cstheme="minorHAnsi"/>
              </w:rPr>
              <w:t>,</w:t>
            </w:r>
            <w:r w:rsidRPr="003B4314">
              <w:rPr>
                <w:rFonts w:cstheme="minorHAnsi"/>
              </w:rPr>
              <w:t xml:space="preserve"> </w:t>
            </w:r>
            <w:r w:rsidR="00E90821">
              <w:rPr>
                <w:rFonts w:cstheme="minorHAnsi"/>
              </w:rPr>
              <w:t xml:space="preserve">SECTECH </w:t>
            </w:r>
            <w:r w:rsidRPr="003B4314">
              <w:rPr>
                <w:rFonts w:cstheme="minorHAnsi"/>
              </w:rPr>
              <w:t>a IMPAKT</w:t>
            </w:r>
            <w:r w:rsidR="0068247F">
              <w:rPr>
                <w:rFonts w:cstheme="minorHAnsi"/>
              </w:rPr>
              <w:t>, účast příjemců IP a resortních organizací MV</w:t>
            </w:r>
          </w:p>
        </w:tc>
      </w:tr>
      <w:tr w:rsidR="00E64489" w:rsidRPr="003B4314" w14:paraId="4C4F8ED7" w14:textId="77777777" w:rsidTr="00546703">
        <w:tc>
          <w:tcPr>
            <w:tcW w:w="1947" w:type="dxa"/>
            <w:vMerge/>
            <w:vAlign w:val="center"/>
          </w:tcPr>
          <w:p w14:paraId="362D2E52" w14:textId="77777777" w:rsidR="00E64489" w:rsidRPr="003B4314" w:rsidRDefault="00E64489" w:rsidP="009B202E">
            <w:pPr>
              <w:suppressLineNumbers/>
              <w:spacing w:before="100" w:after="120"/>
              <w:jc w:val="center"/>
              <w:rPr>
                <w:rFonts w:cstheme="minorHAnsi"/>
              </w:rPr>
            </w:pPr>
          </w:p>
        </w:tc>
        <w:tc>
          <w:tcPr>
            <w:tcW w:w="891" w:type="dxa"/>
            <w:vMerge/>
            <w:textDirection w:val="btLr"/>
            <w:vAlign w:val="center"/>
          </w:tcPr>
          <w:p w14:paraId="7E56DDD2" w14:textId="77777777" w:rsidR="00E64489" w:rsidRPr="003B4314" w:rsidRDefault="00E64489" w:rsidP="009B202E">
            <w:pPr>
              <w:suppressLineNumbers/>
              <w:spacing w:before="100" w:after="120"/>
              <w:ind w:left="113" w:right="113"/>
              <w:jc w:val="center"/>
              <w:rPr>
                <w:rFonts w:cstheme="minorHAnsi"/>
              </w:rPr>
            </w:pPr>
          </w:p>
        </w:tc>
        <w:tc>
          <w:tcPr>
            <w:tcW w:w="3118" w:type="dxa"/>
            <w:vAlign w:val="center"/>
          </w:tcPr>
          <w:p w14:paraId="6588BFEA" w14:textId="77777777" w:rsidR="00E64489" w:rsidRPr="003B4314" w:rsidRDefault="00E64489" w:rsidP="009B202E">
            <w:pPr>
              <w:suppressLineNumbers/>
              <w:spacing w:before="100" w:after="120"/>
              <w:rPr>
                <w:rFonts w:cstheme="minorHAnsi"/>
              </w:rPr>
            </w:pPr>
            <w:r w:rsidRPr="003B4314">
              <w:rPr>
                <w:rFonts w:cstheme="minorHAnsi"/>
              </w:rPr>
              <w:t>Jaký je ohlas příjemců podpory?</w:t>
            </w:r>
          </w:p>
        </w:tc>
        <w:tc>
          <w:tcPr>
            <w:tcW w:w="3106" w:type="dxa"/>
            <w:vAlign w:val="center"/>
          </w:tcPr>
          <w:p w14:paraId="4A377350" w14:textId="77777777" w:rsidR="00E64489" w:rsidRPr="003B4314" w:rsidRDefault="00E64489" w:rsidP="009B202E">
            <w:pPr>
              <w:suppressLineNumbers/>
              <w:spacing w:before="100" w:after="120"/>
              <w:rPr>
                <w:rFonts w:cstheme="minorHAnsi"/>
              </w:rPr>
            </w:pPr>
            <w:r w:rsidRPr="003B4314">
              <w:rPr>
                <w:rFonts w:cstheme="minorHAnsi"/>
              </w:rPr>
              <w:t>Převis poptávky, přínosy z účasti pro podpořené organizace (internacionalizace, rozvoj lidských zdrojů, networking), spokojenost partnerů</w:t>
            </w:r>
          </w:p>
        </w:tc>
      </w:tr>
      <w:tr w:rsidR="00E64489" w:rsidRPr="003B4314" w14:paraId="1CBE3FAB" w14:textId="77777777" w:rsidTr="00546703">
        <w:tc>
          <w:tcPr>
            <w:tcW w:w="1947" w:type="dxa"/>
            <w:vMerge/>
            <w:vAlign w:val="center"/>
          </w:tcPr>
          <w:p w14:paraId="2327B296" w14:textId="77777777" w:rsidR="00E64489" w:rsidRPr="003B4314" w:rsidRDefault="00E64489" w:rsidP="009B202E">
            <w:pPr>
              <w:suppressLineNumbers/>
              <w:spacing w:before="100" w:after="120"/>
              <w:jc w:val="center"/>
              <w:rPr>
                <w:rFonts w:cstheme="minorHAnsi"/>
              </w:rPr>
            </w:pPr>
          </w:p>
        </w:tc>
        <w:tc>
          <w:tcPr>
            <w:tcW w:w="891" w:type="dxa"/>
            <w:vMerge/>
            <w:textDirection w:val="btLr"/>
            <w:vAlign w:val="center"/>
          </w:tcPr>
          <w:p w14:paraId="44FAEE39" w14:textId="77777777" w:rsidR="00E64489" w:rsidRPr="003B4314" w:rsidRDefault="00E64489" w:rsidP="009B202E">
            <w:pPr>
              <w:suppressLineNumbers/>
              <w:spacing w:before="100" w:after="120"/>
              <w:ind w:left="113" w:right="113"/>
              <w:jc w:val="center"/>
              <w:rPr>
                <w:rFonts w:cstheme="minorHAnsi"/>
              </w:rPr>
            </w:pPr>
          </w:p>
        </w:tc>
        <w:tc>
          <w:tcPr>
            <w:tcW w:w="3118" w:type="dxa"/>
            <w:vAlign w:val="center"/>
          </w:tcPr>
          <w:p w14:paraId="6991D05B" w14:textId="77777777" w:rsidR="00E64489" w:rsidRPr="003B4314" w:rsidRDefault="00E64489" w:rsidP="009B202E">
            <w:pPr>
              <w:suppressLineNumbers/>
              <w:spacing w:before="100" w:after="120"/>
              <w:rPr>
                <w:rFonts w:cstheme="minorHAnsi"/>
              </w:rPr>
            </w:pPr>
            <w:r w:rsidRPr="003B4314">
              <w:rPr>
                <w:rFonts w:cstheme="minorHAnsi"/>
              </w:rPr>
              <w:t>Obsahuje program jednoznačnou vazbu na RIS3 strategii?</w:t>
            </w:r>
            <w:r w:rsidRPr="003B4314">
              <w:rPr>
                <w:rFonts w:cstheme="minorHAnsi"/>
                <w:vertAlign w:val="superscript"/>
              </w:rPr>
              <w:footnoteReference w:id="20"/>
            </w:r>
          </w:p>
        </w:tc>
        <w:tc>
          <w:tcPr>
            <w:tcW w:w="3106" w:type="dxa"/>
            <w:vAlign w:val="center"/>
          </w:tcPr>
          <w:p w14:paraId="19F3101F" w14:textId="77777777" w:rsidR="00E64489" w:rsidRPr="003B4314" w:rsidRDefault="00E64489" w:rsidP="009B202E">
            <w:pPr>
              <w:suppressLineNumbers/>
              <w:spacing w:before="100" w:after="120"/>
              <w:rPr>
                <w:rFonts w:cstheme="minorHAnsi"/>
              </w:rPr>
            </w:pPr>
            <w:r w:rsidRPr="003B4314">
              <w:rPr>
                <w:rFonts w:cstheme="minorHAnsi"/>
              </w:rPr>
              <w:t>Zaměření projektů</w:t>
            </w:r>
          </w:p>
        </w:tc>
      </w:tr>
      <w:tr w:rsidR="00E64489" w:rsidRPr="003B4314" w14:paraId="57047159" w14:textId="77777777" w:rsidTr="00546703">
        <w:tc>
          <w:tcPr>
            <w:tcW w:w="1947" w:type="dxa"/>
            <w:vMerge/>
          </w:tcPr>
          <w:p w14:paraId="499D44C2" w14:textId="77777777" w:rsidR="00E64489" w:rsidRPr="003B4314" w:rsidRDefault="00E64489" w:rsidP="009B202E">
            <w:pPr>
              <w:suppressLineNumbers/>
              <w:spacing w:before="100" w:after="120"/>
              <w:rPr>
                <w:rFonts w:cstheme="minorHAnsi"/>
              </w:rPr>
            </w:pPr>
          </w:p>
        </w:tc>
        <w:tc>
          <w:tcPr>
            <w:tcW w:w="891" w:type="dxa"/>
            <w:vMerge/>
          </w:tcPr>
          <w:p w14:paraId="3163A4D0" w14:textId="77777777" w:rsidR="00E64489" w:rsidRPr="003B4314" w:rsidRDefault="00E64489" w:rsidP="009B202E">
            <w:pPr>
              <w:suppressLineNumbers/>
              <w:spacing w:before="100" w:after="120"/>
              <w:jc w:val="center"/>
              <w:rPr>
                <w:rFonts w:cstheme="minorHAnsi"/>
              </w:rPr>
            </w:pPr>
          </w:p>
        </w:tc>
        <w:tc>
          <w:tcPr>
            <w:tcW w:w="3118" w:type="dxa"/>
            <w:vAlign w:val="center"/>
          </w:tcPr>
          <w:p w14:paraId="56B68D56" w14:textId="77777777" w:rsidR="00E64489" w:rsidRPr="003B4314" w:rsidRDefault="00E64489" w:rsidP="009B202E">
            <w:pPr>
              <w:suppressLineNumbers/>
              <w:spacing w:before="100" w:after="120"/>
              <w:rPr>
                <w:rFonts w:cstheme="minorHAnsi"/>
              </w:rPr>
            </w:pPr>
            <w:r w:rsidRPr="003B4314">
              <w:rPr>
                <w:rFonts w:cstheme="minorHAnsi"/>
              </w:rPr>
              <w:t>Zahrnuje program podporu rozvoje lidských zdrojů, zejména mladé generace?</w:t>
            </w:r>
            <w:r w:rsidRPr="003B4314">
              <w:rPr>
                <w:rFonts w:cstheme="minorHAnsi"/>
                <w:vertAlign w:val="superscript"/>
              </w:rPr>
              <w:t xml:space="preserve"> </w:t>
            </w:r>
            <w:r w:rsidRPr="003B4314">
              <w:rPr>
                <w:rFonts w:cstheme="minorHAnsi"/>
                <w:vertAlign w:val="superscript"/>
              </w:rPr>
              <w:footnoteReference w:id="21"/>
            </w:r>
          </w:p>
        </w:tc>
        <w:tc>
          <w:tcPr>
            <w:tcW w:w="3106" w:type="dxa"/>
            <w:vAlign w:val="center"/>
          </w:tcPr>
          <w:p w14:paraId="34590AEA" w14:textId="77777777" w:rsidR="00E64489" w:rsidRPr="003B4314" w:rsidRDefault="00E64489" w:rsidP="009B202E">
            <w:pPr>
              <w:suppressLineNumbers/>
              <w:spacing w:before="100" w:after="120"/>
              <w:rPr>
                <w:rFonts w:cstheme="minorHAnsi"/>
              </w:rPr>
            </w:pPr>
            <w:r w:rsidRPr="003B4314">
              <w:rPr>
                <w:rFonts w:cstheme="minorHAnsi"/>
              </w:rPr>
              <w:t>N/A – program není zacílen tímto směrem</w:t>
            </w:r>
          </w:p>
        </w:tc>
      </w:tr>
      <w:tr w:rsidR="00E64489" w:rsidRPr="003B4314" w14:paraId="4DE5CB3C" w14:textId="77777777" w:rsidTr="00546703">
        <w:tc>
          <w:tcPr>
            <w:tcW w:w="1947" w:type="dxa"/>
            <w:vMerge/>
          </w:tcPr>
          <w:p w14:paraId="607D41F7" w14:textId="77777777" w:rsidR="00E64489" w:rsidRPr="003B4314" w:rsidRDefault="00E64489" w:rsidP="009B202E">
            <w:pPr>
              <w:suppressLineNumbers/>
              <w:spacing w:before="100" w:after="120"/>
              <w:rPr>
                <w:rFonts w:cstheme="minorHAnsi"/>
              </w:rPr>
            </w:pPr>
          </w:p>
        </w:tc>
        <w:tc>
          <w:tcPr>
            <w:tcW w:w="891" w:type="dxa"/>
            <w:vMerge/>
          </w:tcPr>
          <w:p w14:paraId="40588A61" w14:textId="77777777" w:rsidR="00E64489" w:rsidRPr="003B4314" w:rsidRDefault="00E64489" w:rsidP="009B202E">
            <w:pPr>
              <w:suppressLineNumbers/>
              <w:spacing w:before="100" w:after="120"/>
              <w:jc w:val="center"/>
              <w:rPr>
                <w:rFonts w:cstheme="minorHAnsi"/>
              </w:rPr>
            </w:pPr>
          </w:p>
        </w:tc>
        <w:tc>
          <w:tcPr>
            <w:tcW w:w="3118" w:type="dxa"/>
            <w:vAlign w:val="center"/>
          </w:tcPr>
          <w:p w14:paraId="1FC1896D" w14:textId="77777777" w:rsidR="00E64489" w:rsidRPr="003B4314" w:rsidRDefault="00E64489" w:rsidP="009B202E">
            <w:pPr>
              <w:suppressLineNumbers/>
              <w:spacing w:before="100" w:after="120"/>
              <w:rPr>
                <w:rFonts w:cstheme="minorHAnsi"/>
              </w:rPr>
            </w:pPr>
            <w:r w:rsidRPr="003B4314">
              <w:rPr>
                <w:rFonts w:cstheme="minorHAnsi"/>
              </w:rPr>
              <w:t>Podporuje program spolupráci průmyslové a akademické sféry?</w:t>
            </w:r>
            <w:r w:rsidRPr="003B4314">
              <w:rPr>
                <w:rStyle w:val="Znakapoznpodarou"/>
                <w:rFonts w:eastAsia="Calibri" w:cstheme="minorHAnsi"/>
              </w:rPr>
              <w:footnoteReference w:id="22"/>
            </w:r>
            <w:r w:rsidRPr="003B4314">
              <w:rPr>
                <w:rFonts w:cstheme="minorHAnsi"/>
              </w:rPr>
              <w:t xml:space="preserve">  </w:t>
            </w:r>
          </w:p>
        </w:tc>
        <w:tc>
          <w:tcPr>
            <w:tcW w:w="3106" w:type="dxa"/>
            <w:vAlign w:val="center"/>
          </w:tcPr>
          <w:p w14:paraId="5EC1DA6F" w14:textId="77777777" w:rsidR="00E64489" w:rsidRPr="003B4314" w:rsidRDefault="00E64489" w:rsidP="009B202E">
            <w:pPr>
              <w:suppressLineNumbers/>
              <w:spacing w:before="100" w:after="120"/>
              <w:rPr>
                <w:rFonts w:cstheme="minorHAnsi"/>
              </w:rPr>
            </w:pPr>
            <w:r w:rsidRPr="003B4314">
              <w:rPr>
                <w:rFonts w:cstheme="minorHAnsi"/>
              </w:rPr>
              <w:t>Charakter spolupráce, intenzita zapojení jednotlivých typů aktérů,</w:t>
            </w:r>
            <w:r w:rsidR="00660E86" w:rsidRPr="003B4314">
              <w:rPr>
                <w:rFonts w:cstheme="minorHAnsi"/>
              </w:rPr>
              <w:t xml:space="preserve"> účast podniků podle typů ve spolupráci,</w:t>
            </w:r>
            <w:r w:rsidRPr="003B4314">
              <w:rPr>
                <w:rFonts w:cstheme="minorHAnsi"/>
              </w:rPr>
              <w:t xml:space="preserve"> přítomnost spin-off firem</w:t>
            </w:r>
          </w:p>
        </w:tc>
      </w:tr>
      <w:tr w:rsidR="00E64489" w:rsidRPr="003B4314" w14:paraId="77F0D027" w14:textId="77777777" w:rsidTr="00546703">
        <w:tc>
          <w:tcPr>
            <w:tcW w:w="2838" w:type="dxa"/>
            <w:gridSpan w:val="2"/>
            <w:vAlign w:val="center"/>
          </w:tcPr>
          <w:p w14:paraId="03B2A0C1" w14:textId="77777777" w:rsidR="00E64489" w:rsidRPr="003B4314" w:rsidRDefault="00E64489" w:rsidP="009B202E">
            <w:pPr>
              <w:suppressLineNumbers/>
              <w:spacing w:before="100" w:after="120"/>
              <w:jc w:val="left"/>
              <w:rPr>
                <w:rFonts w:cstheme="minorHAnsi"/>
              </w:rPr>
            </w:pPr>
            <w:r w:rsidRPr="003B4314">
              <w:rPr>
                <w:rFonts w:cstheme="minorHAnsi"/>
              </w:rPr>
              <w:t>Závěr hodnocení a úprava programu</w:t>
            </w:r>
          </w:p>
        </w:tc>
        <w:tc>
          <w:tcPr>
            <w:tcW w:w="3118" w:type="dxa"/>
          </w:tcPr>
          <w:p w14:paraId="76CDCB6D" w14:textId="77777777" w:rsidR="00E64489" w:rsidRPr="003B4314" w:rsidRDefault="00E64489" w:rsidP="009B202E">
            <w:pPr>
              <w:suppressLineNumbers/>
              <w:spacing w:before="100" w:after="120"/>
              <w:rPr>
                <w:rFonts w:cstheme="minorHAnsi"/>
              </w:rPr>
            </w:pPr>
            <w:r w:rsidRPr="003B4314">
              <w:rPr>
                <w:rFonts w:cstheme="minorHAnsi"/>
              </w:rPr>
              <w:t>Jaká opatření je vhodné udělat pro prohloubení funkce, efektivity a relevance programu?</w:t>
            </w:r>
          </w:p>
        </w:tc>
        <w:tc>
          <w:tcPr>
            <w:tcW w:w="3106" w:type="dxa"/>
            <w:vAlign w:val="center"/>
          </w:tcPr>
          <w:p w14:paraId="50020118" w14:textId="4A177D73" w:rsidR="00E64489" w:rsidRPr="003B4314" w:rsidRDefault="0068247F" w:rsidP="009B202E">
            <w:pPr>
              <w:suppressLineNumbers/>
              <w:spacing w:before="100" w:after="120"/>
              <w:jc w:val="left"/>
              <w:rPr>
                <w:rFonts w:cstheme="minorHAnsi"/>
              </w:rPr>
            </w:pPr>
            <w:r>
              <w:rPr>
                <w:rFonts w:cstheme="minorHAnsi"/>
              </w:rPr>
              <w:t>Proces učení ze zkušeností</w:t>
            </w:r>
          </w:p>
        </w:tc>
      </w:tr>
    </w:tbl>
    <w:p w14:paraId="6C6E7196" w14:textId="0BF09583" w:rsidR="00A6509B" w:rsidRPr="0075505C" w:rsidRDefault="0075505C" w:rsidP="009B202E">
      <w:pPr>
        <w:pStyle w:val="Titulek"/>
        <w:keepNext/>
        <w:suppressLineNumbers/>
        <w:spacing w:after="120"/>
        <w:rPr>
          <w:szCs w:val="22"/>
        </w:rPr>
      </w:pPr>
      <w:r w:rsidRPr="0075505C">
        <w:rPr>
          <w:szCs w:val="22"/>
        </w:rPr>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9</w:t>
      </w:r>
      <w:r w:rsidRPr="0075505C">
        <w:rPr>
          <w:szCs w:val="22"/>
        </w:rPr>
        <w:fldChar w:fldCharType="end"/>
      </w:r>
      <w:r w:rsidR="00A6509B" w:rsidRPr="0075505C">
        <w:rPr>
          <w:szCs w:val="22"/>
        </w:rPr>
        <w:t>: Koncept závěrečného hodnocení programu</w:t>
      </w:r>
    </w:p>
    <w:p w14:paraId="27A46C1A" w14:textId="77777777" w:rsidR="0075505C" w:rsidRPr="0075505C" w:rsidRDefault="0075505C" w:rsidP="0075505C"/>
    <w:p w14:paraId="6408666D" w14:textId="0234836A" w:rsidR="00E64489" w:rsidRPr="004B6BFD" w:rsidRDefault="00ED655B" w:rsidP="004B6BFD">
      <w:pPr>
        <w:pStyle w:val="Nadpis2"/>
      </w:pPr>
      <w:bookmarkStart w:id="48" w:name="_Toc83296750"/>
      <w:r w:rsidRPr="004B6BFD">
        <w:t>Harmonogram hodnocení</w:t>
      </w:r>
      <w:bookmarkEnd w:id="48"/>
    </w:p>
    <w:p w14:paraId="314E42D5" w14:textId="38B5272B" w:rsidR="00952999" w:rsidRPr="003B4314" w:rsidRDefault="00640B8F" w:rsidP="009B202E">
      <w:pPr>
        <w:suppressLineNumbers/>
        <w:spacing w:after="120"/>
      </w:pPr>
      <w:r>
        <w:t>Tat</w:t>
      </w:r>
      <w:r w:rsidR="00EF0AD8" w:rsidRPr="003B4314">
        <w:t>o kapitola shrnuje h</w:t>
      </w:r>
      <w:r w:rsidR="001C72C8">
        <w:t>armonogram hodnotících procesů P</w:t>
      </w:r>
      <w:r w:rsidR="00EF0AD8" w:rsidRPr="003B4314">
        <w:t>rogram</w:t>
      </w:r>
      <w:r w:rsidR="0031592A">
        <w:t>u</w:t>
      </w:r>
      <w:r w:rsidR="0031592A">
        <w:rPr>
          <w:rStyle w:val="Znakapoznpodarou"/>
        </w:rPr>
        <w:footnoteReference w:id="23"/>
      </w:r>
      <w:r w:rsidR="00EF0AD8" w:rsidRPr="003B4314">
        <w:t xml:space="preserve">, resp. harmonogram vydávání hodnotících materiálů. </w:t>
      </w:r>
      <w:r w:rsidR="00DA6347" w:rsidRPr="003B4314">
        <w:t>Tento plán nepředstavuje závazné milníky, neboť tyto jsou závislé na přesných datech konání veřejných soutěží a ukončování projektů z jednotlivých výzev. Návrh ale v maximální míře zohledňuje</w:t>
      </w:r>
      <w:r w:rsidR="001C72C8">
        <w:t xml:space="preserve"> praktické limity implementace P</w:t>
      </w:r>
      <w:r w:rsidR="00DA6347" w:rsidRPr="003B4314">
        <w:t xml:space="preserve">rogramu. </w:t>
      </w:r>
    </w:p>
    <w:tbl>
      <w:tblPr>
        <w:tblStyle w:val="Tabulkasmkou31"/>
        <w:tblW w:w="0" w:type="auto"/>
        <w:tblInd w:w="5" w:type="dxa"/>
        <w:tblLook w:val="04A0" w:firstRow="1" w:lastRow="0" w:firstColumn="1" w:lastColumn="0" w:noHBand="0" w:noVBand="1"/>
      </w:tblPr>
      <w:tblGrid>
        <w:gridCol w:w="742"/>
        <w:gridCol w:w="3450"/>
        <w:gridCol w:w="3489"/>
        <w:gridCol w:w="1386"/>
      </w:tblGrid>
      <w:tr w:rsidR="001E3C6D" w:rsidRPr="003B4314" w14:paraId="06CBE6F6" w14:textId="77777777" w:rsidTr="005467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 w:type="dxa"/>
            <w:vAlign w:val="center"/>
          </w:tcPr>
          <w:p w14:paraId="2266BA0D" w14:textId="77777777" w:rsidR="001E3C6D" w:rsidRPr="003B4314" w:rsidRDefault="001E3C6D" w:rsidP="009B202E">
            <w:pPr>
              <w:suppressLineNumbers/>
              <w:spacing w:before="120" w:after="120"/>
              <w:jc w:val="left"/>
              <w:rPr>
                <w:rFonts w:cstheme="minorHAnsi"/>
              </w:rPr>
            </w:pPr>
            <w:r w:rsidRPr="003B4314">
              <w:rPr>
                <w:rFonts w:cstheme="minorHAnsi"/>
              </w:rPr>
              <w:t>rok</w:t>
            </w:r>
          </w:p>
        </w:tc>
        <w:tc>
          <w:tcPr>
            <w:tcW w:w="3450" w:type="dxa"/>
            <w:vAlign w:val="center"/>
          </w:tcPr>
          <w:p w14:paraId="59FC41F0" w14:textId="35244510" w:rsidR="001E3C6D" w:rsidRPr="003B4314" w:rsidRDefault="00381986" w:rsidP="009B202E">
            <w:pPr>
              <w:suppressLineNumbers/>
              <w:spacing w:before="120" w:after="120"/>
              <w:jc w:val="left"/>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A</w:t>
            </w:r>
            <w:r w:rsidR="001E3C6D" w:rsidRPr="003B4314">
              <w:rPr>
                <w:rFonts w:cstheme="minorHAnsi"/>
              </w:rPr>
              <w:t>ktivita</w:t>
            </w:r>
          </w:p>
        </w:tc>
        <w:tc>
          <w:tcPr>
            <w:tcW w:w="3489" w:type="dxa"/>
            <w:vAlign w:val="center"/>
          </w:tcPr>
          <w:p w14:paraId="3D7A7D63" w14:textId="20C63B19" w:rsidR="001E3C6D" w:rsidRPr="003B4314" w:rsidRDefault="0006402F" w:rsidP="009B202E">
            <w:pPr>
              <w:suppressLineNumbers/>
              <w:spacing w:before="120" w:after="120"/>
              <w:jc w:val="left"/>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V</w:t>
            </w:r>
            <w:r w:rsidR="001E3C6D" w:rsidRPr="003B4314">
              <w:rPr>
                <w:rFonts w:cstheme="minorHAnsi"/>
              </w:rPr>
              <w:t>ýstup</w:t>
            </w:r>
          </w:p>
        </w:tc>
        <w:tc>
          <w:tcPr>
            <w:tcW w:w="1386" w:type="dxa"/>
            <w:vAlign w:val="center"/>
          </w:tcPr>
          <w:p w14:paraId="1F2919B5" w14:textId="77777777" w:rsidR="001E3C6D" w:rsidRPr="003B4314" w:rsidRDefault="001E3C6D" w:rsidP="009B202E">
            <w:pPr>
              <w:suppressLineNumbers/>
              <w:spacing w:before="120" w:after="120"/>
              <w:jc w:val="left"/>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vlastník</w:t>
            </w:r>
          </w:p>
        </w:tc>
      </w:tr>
      <w:tr w:rsidR="001E3C6D" w:rsidRPr="003B4314" w14:paraId="6AFCD637"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5768134E" w14:textId="61C00DE8" w:rsidR="001E3C6D" w:rsidRPr="003B4314" w:rsidRDefault="001E3C6D" w:rsidP="00876DE9">
            <w:pPr>
              <w:suppressLineNumbers/>
              <w:spacing w:before="120" w:after="120"/>
              <w:rPr>
                <w:rFonts w:cstheme="minorHAnsi"/>
              </w:rPr>
            </w:pPr>
            <w:r w:rsidRPr="003B4314">
              <w:rPr>
                <w:rFonts w:cstheme="minorHAnsi"/>
              </w:rPr>
              <w:t>202</w:t>
            </w:r>
            <w:r w:rsidR="00876DE9">
              <w:rPr>
                <w:rFonts w:cstheme="minorHAnsi"/>
              </w:rPr>
              <w:t>2</w:t>
            </w:r>
          </w:p>
        </w:tc>
        <w:tc>
          <w:tcPr>
            <w:tcW w:w="3450" w:type="dxa"/>
          </w:tcPr>
          <w:p w14:paraId="4EB96A0E" w14:textId="77777777"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 xml:space="preserve">Hodnocení zkušeností VS1 </w:t>
            </w:r>
          </w:p>
        </w:tc>
        <w:tc>
          <w:tcPr>
            <w:tcW w:w="3489" w:type="dxa"/>
          </w:tcPr>
          <w:p w14:paraId="3A26894E" w14:textId="77777777"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Modifikace procesů VS</w:t>
            </w:r>
          </w:p>
        </w:tc>
        <w:tc>
          <w:tcPr>
            <w:tcW w:w="1386" w:type="dxa"/>
            <w:vAlign w:val="center"/>
          </w:tcPr>
          <w:p w14:paraId="736E5697" w14:textId="77777777" w:rsidR="001E3C6D" w:rsidRPr="003B4314" w:rsidRDefault="001E3C6D" w:rsidP="009B202E">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MV</w:t>
            </w:r>
          </w:p>
        </w:tc>
      </w:tr>
      <w:tr w:rsidR="001E3C6D" w:rsidRPr="003B4314" w14:paraId="34F996B8" w14:textId="77777777" w:rsidTr="00546703">
        <w:tc>
          <w:tcPr>
            <w:cnfStyle w:val="001000000000" w:firstRow="0" w:lastRow="0" w:firstColumn="1" w:lastColumn="0" w:oddVBand="0" w:evenVBand="0" w:oddHBand="0" w:evenHBand="0" w:firstRowFirstColumn="0" w:firstRowLastColumn="0" w:lastRowFirstColumn="0" w:lastRowLastColumn="0"/>
            <w:tcW w:w="742" w:type="dxa"/>
          </w:tcPr>
          <w:p w14:paraId="00B2E376" w14:textId="6375B042" w:rsidR="001E3C6D" w:rsidRPr="003B4314" w:rsidRDefault="001E3C6D" w:rsidP="00876DE9">
            <w:pPr>
              <w:suppressLineNumbers/>
              <w:spacing w:before="120" w:after="120"/>
              <w:rPr>
                <w:rFonts w:cstheme="minorHAnsi"/>
              </w:rPr>
            </w:pPr>
            <w:r w:rsidRPr="003B4314">
              <w:rPr>
                <w:rFonts w:cstheme="minorHAnsi"/>
              </w:rPr>
              <w:t>202</w:t>
            </w:r>
            <w:r w:rsidR="00FA7592">
              <w:rPr>
                <w:rFonts w:cstheme="minorHAnsi"/>
              </w:rPr>
              <w:t>4</w:t>
            </w:r>
          </w:p>
        </w:tc>
        <w:tc>
          <w:tcPr>
            <w:tcW w:w="3450" w:type="dxa"/>
          </w:tcPr>
          <w:p w14:paraId="69CCD37F" w14:textId="77777777"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Hodnocení zkušeností VS2</w:t>
            </w:r>
          </w:p>
        </w:tc>
        <w:tc>
          <w:tcPr>
            <w:tcW w:w="3489" w:type="dxa"/>
          </w:tcPr>
          <w:p w14:paraId="71DAA0BA" w14:textId="77777777"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Modifikace procesů VS</w:t>
            </w:r>
          </w:p>
        </w:tc>
        <w:tc>
          <w:tcPr>
            <w:tcW w:w="1386" w:type="dxa"/>
            <w:vAlign w:val="center"/>
          </w:tcPr>
          <w:p w14:paraId="6B54F2F5" w14:textId="77777777" w:rsidR="001E3C6D" w:rsidRPr="003B4314" w:rsidRDefault="001E3C6D" w:rsidP="009B202E">
            <w:pPr>
              <w:suppressLineNumbers/>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MV</w:t>
            </w:r>
          </w:p>
        </w:tc>
      </w:tr>
      <w:tr w:rsidR="008D52D4" w:rsidRPr="003B4314" w14:paraId="5C0524FF"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1A06A53E" w14:textId="479C318B" w:rsidR="008D52D4" w:rsidRPr="003B4314" w:rsidRDefault="008D52D4" w:rsidP="008D52D4">
            <w:pPr>
              <w:suppressLineNumbers/>
              <w:spacing w:before="120" w:after="120"/>
              <w:rPr>
                <w:rFonts w:cstheme="minorHAnsi"/>
              </w:rPr>
            </w:pPr>
            <w:r>
              <w:rPr>
                <w:rFonts w:cstheme="minorHAnsi"/>
              </w:rPr>
              <w:t>2025</w:t>
            </w:r>
          </w:p>
        </w:tc>
        <w:tc>
          <w:tcPr>
            <w:tcW w:w="3450" w:type="dxa"/>
          </w:tcPr>
          <w:p w14:paraId="0BFDF453" w14:textId="42E53A58" w:rsidR="008D52D4" w:rsidRPr="003B4314" w:rsidRDefault="008D52D4" w:rsidP="008D52D4">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Hodnocení zkušeností VS3</w:t>
            </w:r>
          </w:p>
        </w:tc>
        <w:tc>
          <w:tcPr>
            <w:tcW w:w="3489" w:type="dxa"/>
          </w:tcPr>
          <w:p w14:paraId="2892BB7E" w14:textId="6EFC0BB3" w:rsidR="008D52D4" w:rsidRPr="003B4314" w:rsidRDefault="008D52D4" w:rsidP="008D52D4">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Modifikace procesů VS</w:t>
            </w:r>
          </w:p>
        </w:tc>
        <w:tc>
          <w:tcPr>
            <w:tcW w:w="1386" w:type="dxa"/>
            <w:vAlign w:val="center"/>
          </w:tcPr>
          <w:p w14:paraId="202F921D" w14:textId="5659B8AE" w:rsidR="008D52D4" w:rsidRPr="003B4314" w:rsidRDefault="008D52D4" w:rsidP="008D52D4">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MV</w:t>
            </w:r>
          </w:p>
        </w:tc>
      </w:tr>
      <w:tr w:rsidR="001E3C6D" w:rsidRPr="003B4314" w14:paraId="30935F8A" w14:textId="77777777" w:rsidTr="00546703">
        <w:tc>
          <w:tcPr>
            <w:cnfStyle w:val="001000000000" w:firstRow="0" w:lastRow="0" w:firstColumn="1" w:lastColumn="0" w:oddVBand="0" w:evenVBand="0" w:oddHBand="0" w:evenHBand="0" w:firstRowFirstColumn="0" w:firstRowLastColumn="0" w:lastRowFirstColumn="0" w:lastRowLastColumn="0"/>
            <w:tcW w:w="742" w:type="dxa"/>
          </w:tcPr>
          <w:p w14:paraId="6617D21B" w14:textId="0A4515CF" w:rsidR="001E3C6D" w:rsidRPr="003B4314" w:rsidRDefault="001E3C6D" w:rsidP="00876DE9">
            <w:pPr>
              <w:suppressLineNumbers/>
              <w:spacing w:before="120" w:after="120"/>
              <w:rPr>
                <w:rFonts w:cstheme="minorHAnsi"/>
              </w:rPr>
            </w:pPr>
            <w:r w:rsidRPr="003B4314">
              <w:rPr>
                <w:rFonts w:cstheme="minorHAnsi"/>
              </w:rPr>
              <w:t>202</w:t>
            </w:r>
            <w:r w:rsidR="00876DE9">
              <w:rPr>
                <w:rFonts w:cstheme="minorHAnsi"/>
              </w:rPr>
              <w:t>6</w:t>
            </w:r>
          </w:p>
        </w:tc>
        <w:tc>
          <w:tcPr>
            <w:tcW w:w="3450" w:type="dxa"/>
          </w:tcPr>
          <w:p w14:paraId="3AE437AA" w14:textId="77777777"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Závěrečné hodnocení projektů VS1</w:t>
            </w:r>
          </w:p>
        </w:tc>
        <w:tc>
          <w:tcPr>
            <w:tcW w:w="3489" w:type="dxa"/>
          </w:tcPr>
          <w:p w14:paraId="60385723" w14:textId="77777777"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p>
        </w:tc>
        <w:tc>
          <w:tcPr>
            <w:tcW w:w="1386" w:type="dxa"/>
            <w:vAlign w:val="center"/>
          </w:tcPr>
          <w:p w14:paraId="6C73C682" w14:textId="77777777" w:rsidR="001E3C6D" w:rsidRPr="003B4314" w:rsidRDefault="001E3C6D" w:rsidP="009B202E">
            <w:pPr>
              <w:suppressLineNumbers/>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MV</w:t>
            </w:r>
          </w:p>
        </w:tc>
      </w:tr>
      <w:tr w:rsidR="008D52D4" w:rsidRPr="003B4314" w14:paraId="0E6418C0"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3CAB5C9A" w14:textId="77777777" w:rsidR="008D52D4" w:rsidDel="008D52D4" w:rsidRDefault="008D52D4" w:rsidP="009B202E">
            <w:pPr>
              <w:suppressLineNumbers/>
              <w:spacing w:before="120" w:after="120"/>
              <w:rPr>
                <w:rFonts w:cstheme="minorHAnsi"/>
              </w:rPr>
            </w:pPr>
          </w:p>
        </w:tc>
        <w:tc>
          <w:tcPr>
            <w:tcW w:w="3450" w:type="dxa"/>
          </w:tcPr>
          <w:p w14:paraId="150C4F86" w14:textId="0108F935" w:rsidR="008D52D4" w:rsidRPr="003B4314" w:rsidRDefault="008D52D4"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Průběžné hodnocení Programu</w:t>
            </w:r>
          </w:p>
        </w:tc>
        <w:tc>
          <w:tcPr>
            <w:tcW w:w="3489" w:type="dxa"/>
          </w:tcPr>
          <w:p w14:paraId="14537769" w14:textId="2A1001F2" w:rsidR="008D52D4" w:rsidRPr="003B4314" w:rsidRDefault="008D52D4"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Podklad pro tvorbu navazujícího programu</w:t>
            </w:r>
          </w:p>
        </w:tc>
        <w:tc>
          <w:tcPr>
            <w:tcW w:w="1386" w:type="dxa"/>
            <w:vAlign w:val="center"/>
          </w:tcPr>
          <w:p w14:paraId="6118C5AB" w14:textId="5A1AA89F" w:rsidR="008D52D4" w:rsidRPr="003B4314" w:rsidRDefault="008D52D4" w:rsidP="009B202E">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MV</w:t>
            </w:r>
          </w:p>
        </w:tc>
      </w:tr>
      <w:tr w:rsidR="001E3C6D" w:rsidRPr="003B4314" w14:paraId="5A04CB5A" w14:textId="77777777" w:rsidTr="00546703">
        <w:tc>
          <w:tcPr>
            <w:cnfStyle w:val="001000000000" w:firstRow="0" w:lastRow="0" w:firstColumn="1" w:lastColumn="0" w:oddVBand="0" w:evenVBand="0" w:oddHBand="0" w:evenHBand="0" w:firstRowFirstColumn="0" w:firstRowLastColumn="0" w:lastRowFirstColumn="0" w:lastRowLastColumn="0"/>
            <w:tcW w:w="742" w:type="dxa"/>
          </w:tcPr>
          <w:p w14:paraId="18087F79" w14:textId="2A634307" w:rsidR="001E3C6D" w:rsidRPr="003B4314" w:rsidRDefault="008D52D4" w:rsidP="009B202E">
            <w:pPr>
              <w:suppressLineNumbers/>
              <w:spacing w:before="120" w:after="120"/>
              <w:rPr>
                <w:rFonts w:cstheme="minorHAnsi"/>
              </w:rPr>
            </w:pPr>
            <w:r>
              <w:rPr>
                <w:rFonts w:cstheme="minorHAnsi"/>
              </w:rPr>
              <w:t>2027</w:t>
            </w:r>
          </w:p>
        </w:tc>
        <w:tc>
          <w:tcPr>
            <w:tcW w:w="3450" w:type="dxa"/>
          </w:tcPr>
          <w:p w14:paraId="190EFD75" w14:textId="77777777"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Závěrečné hodnocení projektů VS2</w:t>
            </w:r>
          </w:p>
        </w:tc>
        <w:tc>
          <w:tcPr>
            <w:tcW w:w="3489" w:type="dxa"/>
          </w:tcPr>
          <w:p w14:paraId="6F1E2354" w14:textId="75E7CA3E" w:rsidR="001E3C6D" w:rsidRPr="003B4314" w:rsidRDefault="001E3C6D"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p>
        </w:tc>
        <w:tc>
          <w:tcPr>
            <w:tcW w:w="1386" w:type="dxa"/>
            <w:vAlign w:val="center"/>
          </w:tcPr>
          <w:p w14:paraId="723E45B3" w14:textId="77777777" w:rsidR="001E3C6D" w:rsidRPr="003B4314" w:rsidRDefault="001E3C6D" w:rsidP="009B202E">
            <w:pPr>
              <w:suppressLineNumbers/>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MV</w:t>
            </w:r>
          </w:p>
        </w:tc>
      </w:tr>
      <w:tr w:rsidR="001E3C6D" w:rsidRPr="003B4314" w14:paraId="6A954678"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2FE151A3" w14:textId="69934988" w:rsidR="001E3C6D" w:rsidRPr="003B4314" w:rsidRDefault="00534C11" w:rsidP="00534C11">
            <w:pPr>
              <w:suppressLineNumbers/>
              <w:spacing w:before="120" w:after="120"/>
              <w:rPr>
                <w:rFonts w:cstheme="minorHAnsi"/>
              </w:rPr>
            </w:pPr>
            <w:r>
              <w:rPr>
                <w:rFonts w:cstheme="minorHAnsi"/>
              </w:rPr>
              <w:t>203</w:t>
            </w:r>
            <w:r w:rsidR="008D52D4">
              <w:rPr>
                <w:rFonts w:cstheme="minorHAnsi"/>
              </w:rPr>
              <w:t>0</w:t>
            </w:r>
          </w:p>
        </w:tc>
        <w:tc>
          <w:tcPr>
            <w:tcW w:w="3450" w:type="dxa"/>
          </w:tcPr>
          <w:p w14:paraId="720598ED" w14:textId="77777777"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Závěrečné hodnocení projektů VS3</w:t>
            </w:r>
          </w:p>
        </w:tc>
        <w:tc>
          <w:tcPr>
            <w:tcW w:w="3489" w:type="dxa"/>
          </w:tcPr>
          <w:p w14:paraId="5BC8BD93" w14:textId="268826B9"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p>
        </w:tc>
        <w:tc>
          <w:tcPr>
            <w:tcW w:w="1386" w:type="dxa"/>
            <w:vAlign w:val="center"/>
          </w:tcPr>
          <w:p w14:paraId="3F1D8572" w14:textId="77777777" w:rsidR="001E3C6D" w:rsidRPr="003B4314" w:rsidRDefault="001E3C6D" w:rsidP="009B202E">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MV</w:t>
            </w:r>
          </w:p>
        </w:tc>
      </w:tr>
      <w:tr w:rsidR="00546703" w:rsidRPr="003B4314" w14:paraId="4B0DDE6A" w14:textId="77777777" w:rsidTr="00546703">
        <w:tc>
          <w:tcPr>
            <w:cnfStyle w:val="001000000000" w:firstRow="0" w:lastRow="0" w:firstColumn="1" w:lastColumn="0" w:oddVBand="0" w:evenVBand="0" w:oddHBand="0" w:evenHBand="0" w:firstRowFirstColumn="0" w:firstRowLastColumn="0" w:lastRowFirstColumn="0" w:lastRowLastColumn="0"/>
            <w:tcW w:w="742" w:type="dxa"/>
          </w:tcPr>
          <w:p w14:paraId="7BBD648C" w14:textId="6D64A634" w:rsidR="00546703" w:rsidRPr="003B4314" w:rsidRDefault="00534C11" w:rsidP="009B202E">
            <w:pPr>
              <w:suppressLineNumbers/>
              <w:spacing w:before="120" w:after="120"/>
              <w:rPr>
                <w:rFonts w:cstheme="minorHAnsi"/>
              </w:rPr>
            </w:pPr>
            <w:r>
              <w:rPr>
                <w:rFonts w:cstheme="minorHAnsi"/>
              </w:rPr>
              <w:t>203</w:t>
            </w:r>
            <w:r w:rsidR="008D52D4">
              <w:rPr>
                <w:rFonts w:cstheme="minorHAnsi"/>
              </w:rPr>
              <w:t>0</w:t>
            </w:r>
          </w:p>
        </w:tc>
        <w:tc>
          <w:tcPr>
            <w:tcW w:w="3450" w:type="dxa"/>
          </w:tcPr>
          <w:p w14:paraId="2BC751D6" w14:textId="77777777" w:rsidR="00546703" w:rsidRPr="003B4314" w:rsidRDefault="00546703"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Závěrečná zpráva o Programu</w:t>
            </w:r>
          </w:p>
        </w:tc>
        <w:tc>
          <w:tcPr>
            <w:tcW w:w="3489" w:type="dxa"/>
          </w:tcPr>
          <w:p w14:paraId="189B45B4" w14:textId="57861C1C" w:rsidR="00546703" w:rsidRPr="003B4314" w:rsidRDefault="00546703"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Uzavření programového cyklu</w:t>
            </w:r>
            <w:r w:rsidR="0031592A">
              <w:rPr>
                <w:rFonts w:cstheme="minorHAnsi"/>
              </w:rPr>
              <w:t>.</w:t>
            </w:r>
            <w:r w:rsidR="000C1602">
              <w:rPr>
                <w:rFonts w:cstheme="minorHAnsi"/>
              </w:rPr>
              <w:t xml:space="preserve"> </w:t>
            </w:r>
            <w:r w:rsidR="0031592A">
              <w:rPr>
                <w:rFonts w:cstheme="minorHAnsi"/>
              </w:rPr>
              <w:t>Závěrečnou zprávu o Programu zpracuje MV v rozsahu podle Metodiky hodnocení výzkumných organizací a výsledků ukončených programů schválené vládou</w:t>
            </w:r>
          </w:p>
        </w:tc>
        <w:tc>
          <w:tcPr>
            <w:tcW w:w="1386" w:type="dxa"/>
            <w:vAlign w:val="center"/>
          </w:tcPr>
          <w:p w14:paraId="17CDBE65" w14:textId="77777777" w:rsidR="00546703" w:rsidRPr="003B4314" w:rsidRDefault="00546703" w:rsidP="009B202E">
            <w:pPr>
              <w:suppressLineNumbers/>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RVVI</w:t>
            </w:r>
          </w:p>
        </w:tc>
      </w:tr>
      <w:tr w:rsidR="001E3C6D" w:rsidRPr="003B4314" w14:paraId="015C9E0D"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6E1A6B69" w14:textId="52350F46" w:rsidR="001E3C6D" w:rsidRPr="003B4314" w:rsidRDefault="00534C11" w:rsidP="009B202E">
            <w:pPr>
              <w:suppressLineNumbers/>
              <w:spacing w:before="120" w:after="120"/>
              <w:rPr>
                <w:rFonts w:cstheme="minorHAnsi"/>
              </w:rPr>
            </w:pPr>
            <w:r>
              <w:rPr>
                <w:rFonts w:cstheme="minorHAnsi"/>
              </w:rPr>
              <w:t>2030</w:t>
            </w:r>
          </w:p>
        </w:tc>
        <w:tc>
          <w:tcPr>
            <w:tcW w:w="3450" w:type="dxa"/>
          </w:tcPr>
          <w:p w14:paraId="0697925C" w14:textId="77777777"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Hodnocení dopadů projektů VS1</w:t>
            </w:r>
          </w:p>
        </w:tc>
        <w:tc>
          <w:tcPr>
            <w:tcW w:w="3489" w:type="dxa"/>
          </w:tcPr>
          <w:p w14:paraId="7FD68698" w14:textId="77777777"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Vstup do hodnocení dopadů programu</w:t>
            </w:r>
          </w:p>
        </w:tc>
        <w:tc>
          <w:tcPr>
            <w:tcW w:w="1386" w:type="dxa"/>
            <w:vAlign w:val="center"/>
          </w:tcPr>
          <w:p w14:paraId="63F677BE" w14:textId="77777777" w:rsidR="001E3C6D" w:rsidRPr="003B4314" w:rsidRDefault="00546703" w:rsidP="009B202E">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Ext</w:t>
            </w:r>
            <w:r w:rsidRPr="003B4314">
              <w:rPr>
                <w:rStyle w:val="Znakapoznpodarou"/>
                <w:rFonts w:cstheme="minorHAnsi"/>
              </w:rPr>
              <w:footnoteReference w:id="24"/>
            </w:r>
          </w:p>
        </w:tc>
      </w:tr>
      <w:tr w:rsidR="00546703" w:rsidRPr="003B4314" w14:paraId="1FD0338A" w14:textId="77777777" w:rsidTr="00546703">
        <w:tc>
          <w:tcPr>
            <w:cnfStyle w:val="001000000000" w:firstRow="0" w:lastRow="0" w:firstColumn="1" w:lastColumn="0" w:oddVBand="0" w:evenVBand="0" w:oddHBand="0" w:evenHBand="0" w:firstRowFirstColumn="0" w:firstRowLastColumn="0" w:lastRowFirstColumn="0" w:lastRowLastColumn="0"/>
            <w:tcW w:w="742" w:type="dxa"/>
          </w:tcPr>
          <w:p w14:paraId="59280D05" w14:textId="4FDABDDA" w:rsidR="00546703" w:rsidRPr="003B4314" w:rsidRDefault="00546703" w:rsidP="00534C11">
            <w:pPr>
              <w:suppressLineNumbers/>
              <w:spacing w:before="120" w:after="120"/>
              <w:rPr>
                <w:rFonts w:cstheme="minorHAnsi"/>
              </w:rPr>
            </w:pPr>
            <w:r w:rsidRPr="003B4314">
              <w:rPr>
                <w:rFonts w:cstheme="minorHAnsi"/>
              </w:rPr>
              <w:t>20</w:t>
            </w:r>
            <w:r w:rsidR="00534C11">
              <w:rPr>
                <w:rFonts w:cstheme="minorHAnsi"/>
              </w:rPr>
              <w:t>31</w:t>
            </w:r>
          </w:p>
        </w:tc>
        <w:tc>
          <w:tcPr>
            <w:tcW w:w="3450" w:type="dxa"/>
          </w:tcPr>
          <w:p w14:paraId="708870C6" w14:textId="77777777" w:rsidR="00546703" w:rsidRPr="003B4314" w:rsidRDefault="00546703"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Hodnocení dopadů projektů VS2</w:t>
            </w:r>
          </w:p>
        </w:tc>
        <w:tc>
          <w:tcPr>
            <w:tcW w:w="3489" w:type="dxa"/>
          </w:tcPr>
          <w:p w14:paraId="3D5B602E" w14:textId="77777777" w:rsidR="00546703" w:rsidRPr="003B4314" w:rsidRDefault="00546703" w:rsidP="009B202E">
            <w:pPr>
              <w:suppressLineNumbers/>
              <w:spacing w:before="120"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Vstup do hodnocení dopadů programu</w:t>
            </w:r>
          </w:p>
        </w:tc>
        <w:tc>
          <w:tcPr>
            <w:tcW w:w="1386" w:type="dxa"/>
            <w:vAlign w:val="center"/>
          </w:tcPr>
          <w:p w14:paraId="75858F1D" w14:textId="77777777" w:rsidR="00546703" w:rsidRPr="003B4314" w:rsidRDefault="00546703" w:rsidP="009B202E">
            <w:pPr>
              <w:suppressLineNumbers/>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Ext</w:t>
            </w:r>
          </w:p>
        </w:tc>
      </w:tr>
      <w:tr w:rsidR="001E3C6D" w:rsidRPr="003B4314" w14:paraId="67407432"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2" w:type="dxa"/>
          </w:tcPr>
          <w:p w14:paraId="1155ED1C" w14:textId="0D7EACE3" w:rsidR="001E3C6D" w:rsidRPr="003B4314" w:rsidRDefault="001E3C6D" w:rsidP="00534C11">
            <w:pPr>
              <w:suppressLineNumbers/>
              <w:spacing w:before="120" w:after="120"/>
              <w:rPr>
                <w:rFonts w:cstheme="minorHAnsi"/>
              </w:rPr>
            </w:pPr>
            <w:r w:rsidRPr="003B4314">
              <w:rPr>
                <w:rFonts w:cstheme="minorHAnsi"/>
              </w:rPr>
              <w:t>203</w:t>
            </w:r>
            <w:r w:rsidR="008D52D4">
              <w:rPr>
                <w:rFonts w:cstheme="minorHAnsi"/>
              </w:rPr>
              <w:t>4</w:t>
            </w:r>
          </w:p>
        </w:tc>
        <w:tc>
          <w:tcPr>
            <w:tcW w:w="3450" w:type="dxa"/>
          </w:tcPr>
          <w:p w14:paraId="2875F296" w14:textId="6F756ED4" w:rsidR="001E3C6D" w:rsidRPr="003B4314" w:rsidRDefault="001E3C6D" w:rsidP="009B202E">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Hodn</w:t>
            </w:r>
            <w:r w:rsidR="001C72C8">
              <w:rPr>
                <w:rFonts w:cstheme="minorHAnsi"/>
              </w:rPr>
              <w:t>ocení dopadů P</w:t>
            </w:r>
            <w:r w:rsidRPr="003B4314">
              <w:rPr>
                <w:rFonts w:cstheme="minorHAnsi"/>
              </w:rPr>
              <w:t>rogramu</w:t>
            </w:r>
          </w:p>
        </w:tc>
        <w:tc>
          <w:tcPr>
            <w:tcW w:w="3489" w:type="dxa"/>
          </w:tcPr>
          <w:p w14:paraId="4FE82CCC" w14:textId="195D2E75" w:rsidR="001E3C6D" w:rsidRPr="003B4314" w:rsidRDefault="001E3C6D" w:rsidP="003B2F38">
            <w:pPr>
              <w:suppressLineNumbers/>
              <w:spacing w:before="120"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 xml:space="preserve">Vstup do přípravy </w:t>
            </w:r>
            <w:r w:rsidR="003B2F38">
              <w:rPr>
                <w:rFonts w:cstheme="minorHAnsi"/>
              </w:rPr>
              <w:t>meziresortní koncepce bezpečnostního výzkumu</w:t>
            </w:r>
          </w:p>
        </w:tc>
        <w:tc>
          <w:tcPr>
            <w:tcW w:w="1386" w:type="dxa"/>
            <w:vAlign w:val="center"/>
          </w:tcPr>
          <w:p w14:paraId="190B72D1" w14:textId="77777777" w:rsidR="001E3C6D" w:rsidRPr="003B4314" w:rsidRDefault="001E3C6D" w:rsidP="009B202E">
            <w:pPr>
              <w:suppressLineNumbers/>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MV</w:t>
            </w:r>
          </w:p>
        </w:tc>
      </w:tr>
    </w:tbl>
    <w:p w14:paraId="2EB68BD0" w14:textId="05BBD2AD" w:rsidR="001E3C6D" w:rsidRPr="0075505C" w:rsidRDefault="0075505C" w:rsidP="009B202E">
      <w:pPr>
        <w:pStyle w:val="Titulek"/>
        <w:keepNext/>
        <w:suppressLineNumbers/>
        <w:spacing w:after="120"/>
        <w:rPr>
          <w:szCs w:val="22"/>
        </w:rPr>
      </w:pPr>
      <w:r w:rsidRPr="0075505C">
        <w:rPr>
          <w:szCs w:val="22"/>
        </w:rPr>
        <w:lastRenderedPageBreak/>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10</w:t>
      </w:r>
      <w:r w:rsidRPr="0075505C">
        <w:rPr>
          <w:szCs w:val="22"/>
        </w:rPr>
        <w:fldChar w:fldCharType="end"/>
      </w:r>
      <w:r w:rsidR="00A6509B" w:rsidRPr="0075505C">
        <w:rPr>
          <w:szCs w:val="22"/>
        </w:rPr>
        <w:t>: Harmonogram hodnotících procesů v</w:t>
      </w:r>
      <w:r w:rsidRPr="0075505C">
        <w:rPr>
          <w:szCs w:val="22"/>
        </w:rPr>
        <w:t> </w:t>
      </w:r>
      <w:r w:rsidR="001C72C8">
        <w:rPr>
          <w:szCs w:val="22"/>
        </w:rPr>
        <w:t>P</w:t>
      </w:r>
      <w:r w:rsidR="00A6509B" w:rsidRPr="0075505C">
        <w:rPr>
          <w:szCs w:val="22"/>
        </w:rPr>
        <w:t>rogramu</w:t>
      </w:r>
    </w:p>
    <w:p w14:paraId="2B8A627A" w14:textId="77777777" w:rsidR="0075505C" w:rsidRPr="0075505C" w:rsidRDefault="0075505C" w:rsidP="0075505C"/>
    <w:p w14:paraId="2C1E88C0" w14:textId="44FEFFD8" w:rsidR="00D428AA" w:rsidRPr="004B6BFD" w:rsidRDefault="00D428AA" w:rsidP="004B6BFD">
      <w:pPr>
        <w:pStyle w:val="Nadpis2"/>
      </w:pPr>
      <w:bookmarkStart w:id="49" w:name="_Toc83296751"/>
      <w:r w:rsidRPr="004B6BFD">
        <w:t>Funkčnost</w:t>
      </w:r>
      <w:bookmarkEnd w:id="49"/>
    </w:p>
    <w:p w14:paraId="2A70ED97" w14:textId="48362037" w:rsidR="00A6509B" w:rsidRPr="003B4314" w:rsidRDefault="0071798A" w:rsidP="009B202E">
      <w:pPr>
        <w:suppressLineNumbers/>
        <w:spacing w:after="120"/>
        <w:rPr>
          <w:b/>
          <w:u w:val="single"/>
        </w:rPr>
      </w:pPr>
      <w:r w:rsidRPr="003B4314">
        <w:t xml:space="preserve">Tato podkapitola stanoví základní minimální </w:t>
      </w:r>
      <w:r w:rsidR="0075505C">
        <w:t>prahy pro hodnocení funkčnosti P</w:t>
      </w:r>
      <w:r w:rsidRPr="003B4314">
        <w:t>rogramu, které budou předmětem hodnocení. Je zřejmé,</w:t>
      </w:r>
      <w:r w:rsidR="0075505C">
        <w:t xml:space="preserve"> že funkčnost specializovaného P</w:t>
      </w:r>
      <w:r w:rsidRPr="003B4314">
        <w:t xml:space="preserve">rogramu ukazuje i řada dalších indikátorů. Pro ně ale zpravidla není možné prahy hodnověrně určit, buď pro nedostatek relevantních empirických vstupů, nebo kvůli </w:t>
      </w:r>
      <w:r w:rsidRPr="003B4314">
        <w:rPr>
          <w:b/>
        </w:rPr>
        <w:t>soutěžnímu mechanismu</w:t>
      </w:r>
      <w:r w:rsidRPr="003B4314">
        <w:t xml:space="preserve">. Ten </w:t>
      </w:r>
      <w:r w:rsidRPr="003B4314">
        <w:rPr>
          <w:b/>
          <w:u w:val="single"/>
        </w:rPr>
        <w:t>vylučuje jakoukoliv předchozí znalost jak spektra přihlášek, tak spektra podpořených projektů.</w:t>
      </w:r>
    </w:p>
    <w:tbl>
      <w:tblPr>
        <w:tblStyle w:val="Tabulkasmkou41"/>
        <w:tblW w:w="5000" w:type="pct"/>
        <w:tblLook w:val="04A0" w:firstRow="1" w:lastRow="0" w:firstColumn="1" w:lastColumn="0" w:noHBand="0" w:noVBand="1"/>
      </w:tblPr>
      <w:tblGrid>
        <w:gridCol w:w="6374"/>
        <w:gridCol w:w="2688"/>
      </w:tblGrid>
      <w:tr w:rsidR="001A2B18" w:rsidRPr="003B4314" w14:paraId="5554A330" w14:textId="77777777" w:rsidTr="001A2B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49578A67" w14:textId="77777777" w:rsidR="001A2B18" w:rsidRPr="003B4314" w:rsidRDefault="001A2B18" w:rsidP="009B202E">
            <w:pPr>
              <w:suppressLineNumbers/>
              <w:spacing w:after="120"/>
              <w:rPr>
                <w:rFonts w:cstheme="minorHAnsi"/>
                <w:b w:val="0"/>
              </w:rPr>
            </w:pPr>
            <w:r w:rsidRPr="003B4314">
              <w:rPr>
                <w:rFonts w:cstheme="minorHAnsi"/>
                <w:b w:val="0"/>
              </w:rPr>
              <w:t>Indikátor</w:t>
            </w:r>
          </w:p>
        </w:tc>
        <w:tc>
          <w:tcPr>
            <w:tcW w:w="1483" w:type="pct"/>
            <w:vAlign w:val="center"/>
          </w:tcPr>
          <w:p w14:paraId="3E65755F" w14:textId="77777777" w:rsidR="001A2B18" w:rsidRPr="003B4314" w:rsidRDefault="001A2B18"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3B4314">
              <w:rPr>
                <w:rFonts w:cstheme="minorHAnsi"/>
                <w:b w:val="0"/>
              </w:rPr>
              <w:t>Hodnota</w:t>
            </w:r>
          </w:p>
        </w:tc>
      </w:tr>
      <w:tr w:rsidR="001A2B18" w:rsidRPr="003B4314" w14:paraId="175A0066"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2B0554EF" w14:textId="4CFAFB74" w:rsidR="001A2B18" w:rsidRPr="003B4314" w:rsidRDefault="001A2B18" w:rsidP="009B202E">
            <w:pPr>
              <w:suppressLineNumbers/>
              <w:spacing w:after="120"/>
              <w:rPr>
                <w:rFonts w:cstheme="minorHAnsi"/>
                <w:b w:val="0"/>
              </w:rPr>
            </w:pPr>
            <w:r w:rsidRPr="003B4314">
              <w:rPr>
                <w:rFonts w:cstheme="minorHAnsi"/>
                <w:b w:val="0"/>
              </w:rPr>
              <w:t xml:space="preserve">Rozdíl ve finanční alokaci </w:t>
            </w:r>
            <w:r w:rsidR="0075505C">
              <w:rPr>
                <w:rFonts w:cstheme="minorHAnsi"/>
                <w:b w:val="0"/>
              </w:rPr>
              <w:t>na P</w:t>
            </w:r>
            <w:r w:rsidR="0080334E">
              <w:rPr>
                <w:rFonts w:cstheme="minorHAnsi"/>
                <w:b w:val="0"/>
              </w:rPr>
              <w:t xml:space="preserve">rogram </w:t>
            </w:r>
            <w:r w:rsidRPr="003B4314">
              <w:rPr>
                <w:rFonts w:cstheme="minorHAnsi"/>
                <w:b w:val="0"/>
              </w:rPr>
              <w:t>v letech</w:t>
            </w:r>
          </w:p>
        </w:tc>
        <w:tc>
          <w:tcPr>
            <w:tcW w:w="1483" w:type="pct"/>
            <w:vAlign w:val="center"/>
          </w:tcPr>
          <w:p w14:paraId="06982F44" w14:textId="77777777" w:rsidR="001A2B18" w:rsidRPr="003B4314" w:rsidRDefault="00660E86"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w:t>
            </w:r>
            <w:r w:rsidR="001A2B18" w:rsidRPr="003B4314">
              <w:rPr>
                <w:rFonts w:cstheme="minorHAnsi"/>
              </w:rPr>
              <w:t xml:space="preserve"> </w:t>
            </w:r>
            <w:r w:rsidRPr="003B4314">
              <w:rPr>
                <w:rFonts w:cstheme="minorHAnsi"/>
              </w:rPr>
              <w:t>10 %</w:t>
            </w:r>
          </w:p>
        </w:tc>
      </w:tr>
      <w:tr w:rsidR="001A2B18" w:rsidRPr="003B4314" w14:paraId="424FDEBC"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5F4217A3" w14:textId="77777777" w:rsidR="001A2B18" w:rsidRPr="003B4314" w:rsidRDefault="001A2B18" w:rsidP="009B202E">
            <w:pPr>
              <w:suppressLineNumbers/>
              <w:spacing w:after="120"/>
              <w:rPr>
                <w:rFonts w:cstheme="minorHAnsi"/>
                <w:b w:val="0"/>
              </w:rPr>
            </w:pPr>
            <w:r w:rsidRPr="003B4314">
              <w:rPr>
                <w:rFonts w:cstheme="minorHAnsi"/>
                <w:b w:val="0"/>
              </w:rPr>
              <w:t>Minimální čerpání rozpočtu v letech</w:t>
            </w:r>
          </w:p>
        </w:tc>
        <w:tc>
          <w:tcPr>
            <w:tcW w:w="1483" w:type="pct"/>
            <w:vAlign w:val="center"/>
          </w:tcPr>
          <w:p w14:paraId="0591B816" w14:textId="77777777" w:rsidR="001A2B18" w:rsidRPr="003B4314" w:rsidRDefault="001A2B18"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70</w:t>
            </w:r>
            <w:r w:rsidR="00CE5200" w:rsidRPr="003B4314">
              <w:rPr>
                <w:rFonts w:cstheme="minorHAnsi"/>
              </w:rPr>
              <w:t xml:space="preserve"> </w:t>
            </w:r>
            <w:r w:rsidRPr="003B4314">
              <w:rPr>
                <w:rFonts w:cstheme="minorHAnsi"/>
              </w:rPr>
              <w:t>%</w:t>
            </w:r>
          </w:p>
        </w:tc>
      </w:tr>
      <w:tr w:rsidR="0050567A" w:rsidRPr="003B4314" w14:paraId="5C4B2FB9"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3A9135EC" w14:textId="6F2844F2" w:rsidR="0050567A" w:rsidRPr="003B4314" w:rsidRDefault="0050567A" w:rsidP="009B202E">
            <w:pPr>
              <w:suppressLineNumbers/>
              <w:spacing w:after="120"/>
              <w:rPr>
                <w:rFonts w:cstheme="minorHAnsi"/>
                <w:b w:val="0"/>
              </w:rPr>
            </w:pPr>
            <w:r>
              <w:rPr>
                <w:rFonts w:cstheme="minorHAnsi"/>
                <w:b w:val="0"/>
              </w:rPr>
              <w:t>Realizace finančních kontrol v roce</w:t>
            </w:r>
          </w:p>
        </w:tc>
        <w:tc>
          <w:tcPr>
            <w:tcW w:w="1483" w:type="pct"/>
            <w:vAlign w:val="center"/>
          </w:tcPr>
          <w:p w14:paraId="6FCE66D0" w14:textId="4AB5E104" w:rsidR="0050567A" w:rsidRPr="003B4314" w:rsidRDefault="0050567A"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t>≥</w:t>
            </w:r>
            <w:r>
              <w:t xml:space="preserve"> 5% poskytované podpory</w:t>
            </w:r>
          </w:p>
        </w:tc>
      </w:tr>
      <w:tr w:rsidR="001A2B18" w:rsidRPr="003B4314" w14:paraId="79E4949C"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0D20BBB9" w14:textId="77777777" w:rsidR="001A2B18" w:rsidRPr="003B4314" w:rsidRDefault="001A2B18" w:rsidP="009B202E">
            <w:pPr>
              <w:suppressLineNumbers/>
              <w:spacing w:after="120"/>
              <w:rPr>
                <w:rFonts w:cstheme="minorHAnsi"/>
                <w:b w:val="0"/>
              </w:rPr>
            </w:pPr>
            <w:r w:rsidRPr="003B4314">
              <w:rPr>
                <w:rFonts w:cstheme="minorHAnsi"/>
                <w:b w:val="0"/>
              </w:rPr>
              <w:t>Odchylky v harmonogramu vyhlašování veřejných soutěží</w:t>
            </w:r>
          </w:p>
        </w:tc>
        <w:tc>
          <w:tcPr>
            <w:tcW w:w="1483" w:type="pct"/>
            <w:vAlign w:val="center"/>
          </w:tcPr>
          <w:p w14:paraId="3BCE717D" w14:textId="1BD9FEC9" w:rsidR="001A2B18" w:rsidRPr="003B4314" w:rsidRDefault="00780C2F" w:rsidP="00A629C2">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max </w:t>
            </w:r>
            <w:r w:rsidR="00A629C2">
              <w:rPr>
                <w:rFonts w:cstheme="minorHAnsi"/>
              </w:rPr>
              <w:t>1</w:t>
            </w:r>
            <w:r w:rsidR="001A2B18" w:rsidRPr="003B4314">
              <w:rPr>
                <w:rFonts w:cstheme="minorHAnsi"/>
              </w:rPr>
              <w:t xml:space="preserve"> </w:t>
            </w:r>
            <w:r w:rsidR="00A629C2">
              <w:rPr>
                <w:rFonts w:cstheme="minorHAnsi"/>
              </w:rPr>
              <w:t>rok</w:t>
            </w:r>
          </w:p>
        </w:tc>
      </w:tr>
      <w:tr w:rsidR="00CE5200" w:rsidRPr="003B4314" w14:paraId="38E561F3"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51261A75" w14:textId="76A046F4" w:rsidR="00CE5200" w:rsidRPr="003B4314" w:rsidRDefault="00CE5200" w:rsidP="009C28E0">
            <w:pPr>
              <w:suppressLineNumbers/>
              <w:spacing w:after="120"/>
              <w:rPr>
                <w:rFonts w:cstheme="minorHAnsi"/>
                <w:b w:val="0"/>
              </w:rPr>
            </w:pPr>
            <w:r w:rsidRPr="003B4314">
              <w:rPr>
                <w:rFonts w:cstheme="minorHAnsi"/>
                <w:b w:val="0"/>
              </w:rPr>
              <w:t>Úspěšnost žádostí</w:t>
            </w:r>
            <w:r w:rsidR="0075505C">
              <w:rPr>
                <w:rFonts w:cstheme="minorHAnsi"/>
                <w:b w:val="0"/>
              </w:rPr>
              <w:t xml:space="preserve"> za dobu realizace P</w:t>
            </w:r>
            <w:r w:rsidR="00780C2F">
              <w:rPr>
                <w:rFonts w:cstheme="minorHAnsi"/>
                <w:b w:val="0"/>
              </w:rPr>
              <w:t>rogramu</w:t>
            </w:r>
          </w:p>
        </w:tc>
        <w:tc>
          <w:tcPr>
            <w:tcW w:w="1483" w:type="pct"/>
            <w:vAlign w:val="center"/>
          </w:tcPr>
          <w:p w14:paraId="3DD1E906" w14:textId="7481471E" w:rsidR="00CE5200" w:rsidRPr="003B4314" w:rsidRDefault="00780C2F"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t>≥</w:t>
            </w:r>
            <w:r>
              <w:t xml:space="preserve"> </w:t>
            </w:r>
            <w:r w:rsidR="00CE5200" w:rsidRPr="003B4314">
              <w:rPr>
                <w:rFonts w:cstheme="minorHAnsi"/>
              </w:rPr>
              <w:t>20 %</w:t>
            </w:r>
          </w:p>
        </w:tc>
      </w:tr>
      <w:tr w:rsidR="00546703" w:rsidRPr="003B4314" w14:paraId="217A4463"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52EB67CA" w14:textId="5FFE6EBB" w:rsidR="00546703" w:rsidRPr="003B4314" w:rsidRDefault="0075505C" w:rsidP="009B202E">
            <w:pPr>
              <w:suppressLineNumbers/>
              <w:spacing w:after="120"/>
              <w:rPr>
                <w:rFonts w:cstheme="minorHAnsi"/>
                <w:b w:val="0"/>
              </w:rPr>
            </w:pPr>
            <w:r>
              <w:rPr>
                <w:rFonts w:cstheme="minorHAnsi"/>
                <w:b w:val="0"/>
              </w:rPr>
              <w:t>Milníky harmonogramu hodnocení P</w:t>
            </w:r>
            <w:r w:rsidR="00546703" w:rsidRPr="003B4314">
              <w:rPr>
                <w:rFonts w:cstheme="minorHAnsi"/>
                <w:b w:val="0"/>
              </w:rPr>
              <w:t>rogramu</w:t>
            </w:r>
          </w:p>
        </w:tc>
        <w:tc>
          <w:tcPr>
            <w:tcW w:w="1483" w:type="pct"/>
            <w:vAlign w:val="center"/>
          </w:tcPr>
          <w:p w14:paraId="2BF99949" w14:textId="0D1EB716" w:rsidR="00546703" w:rsidRPr="003B4314" w:rsidRDefault="00B77C3F"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v</w:t>
            </w:r>
            <w:r w:rsidR="00546703" w:rsidRPr="003B4314">
              <w:rPr>
                <w:rFonts w:cstheme="minorHAnsi"/>
              </w:rPr>
              <w:t xml:space="preserve"> termínu</w:t>
            </w:r>
          </w:p>
        </w:tc>
      </w:tr>
    </w:tbl>
    <w:p w14:paraId="6A9E4CA6" w14:textId="71B7EA59" w:rsidR="001A2B18" w:rsidRPr="0075505C" w:rsidRDefault="0075505C" w:rsidP="009B202E">
      <w:pPr>
        <w:pStyle w:val="Titulek"/>
        <w:keepNext/>
        <w:suppressLineNumbers/>
        <w:spacing w:after="120"/>
        <w:rPr>
          <w:szCs w:val="22"/>
        </w:rPr>
      </w:pPr>
      <w:r w:rsidRPr="0075505C">
        <w:rPr>
          <w:szCs w:val="22"/>
        </w:rPr>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11</w:t>
      </w:r>
      <w:r w:rsidRPr="0075505C">
        <w:rPr>
          <w:szCs w:val="22"/>
        </w:rPr>
        <w:fldChar w:fldCharType="end"/>
      </w:r>
      <w:r w:rsidR="00A6509B" w:rsidRPr="0075505C">
        <w:rPr>
          <w:szCs w:val="22"/>
        </w:rPr>
        <w:t>: Hodnocení funk</w:t>
      </w:r>
      <w:r w:rsidR="001C72C8">
        <w:rPr>
          <w:szCs w:val="22"/>
        </w:rPr>
        <w:t>čnosti P</w:t>
      </w:r>
      <w:r w:rsidR="00A6509B" w:rsidRPr="0075505C">
        <w:rPr>
          <w:szCs w:val="22"/>
        </w:rPr>
        <w:t>rogramu</w:t>
      </w:r>
    </w:p>
    <w:p w14:paraId="4C46554B" w14:textId="77777777" w:rsidR="0075505C" w:rsidRPr="0075505C" w:rsidRDefault="0075505C" w:rsidP="0075505C"/>
    <w:p w14:paraId="55EF6F78" w14:textId="1E923C3E" w:rsidR="00D428AA" w:rsidRPr="004B6BFD" w:rsidRDefault="00D428AA" w:rsidP="004B6BFD">
      <w:pPr>
        <w:pStyle w:val="Nadpis2"/>
      </w:pPr>
      <w:bookmarkStart w:id="50" w:name="_Toc83296752"/>
      <w:r w:rsidRPr="004B6BFD">
        <w:t>Efektivita</w:t>
      </w:r>
      <w:bookmarkEnd w:id="50"/>
    </w:p>
    <w:p w14:paraId="18EB4FF9" w14:textId="1FCCD868" w:rsidR="00952999" w:rsidRPr="003B4314" w:rsidRDefault="005035CD" w:rsidP="009B202E">
      <w:pPr>
        <w:suppressLineNumbers/>
        <w:spacing w:after="120"/>
      </w:pPr>
      <w:r w:rsidRPr="003B4314">
        <w:t>Tato podkapitola shrnuje základní prahové ho</w:t>
      </w:r>
      <w:r w:rsidR="0075505C">
        <w:t>dnoty pro sledování efektivity P</w:t>
      </w:r>
      <w:r w:rsidRPr="003B4314">
        <w:t xml:space="preserve">rogramu. Je zřejmé, že pro její detailní vyhodnocení je vhodné systém vyhodnocování minimálního plnění doplnit o další, zpravidla kvalitativní indikátory. </w:t>
      </w:r>
      <w:r w:rsidR="0075505C">
        <w:t>Protože je P</w:t>
      </w:r>
      <w:r w:rsidR="00450FBC" w:rsidRPr="003B4314">
        <w:t xml:space="preserve">rogram realizován veřejnou soutěží a poskytovatel tak dopředu nezná ani složení přihlášek, ani složení množiny podpořených projektů a tuto otevřenost se snaží zachovat, neklade si žádné předběžné ambice z hlediska diverzity podpořených projektů. </w:t>
      </w:r>
    </w:p>
    <w:tbl>
      <w:tblPr>
        <w:tblStyle w:val="Tabulkasmkou41"/>
        <w:tblW w:w="5000" w:type="pct"/>
        <w:tblLook w:val="04A0" w:firstRow="1" w:lastRow="0" w:firstColumn="1" w:lastColumn="0" w:noHBand="0" w:noVBand="1"/>
      </w:tblPr>
      <w:tblGrid>
        <w:gridCol w:w="6374"/>
        <w:gridCol w:w="2688"/>
      </w:tblGrid>
      <w:tr w:rsidR="001A2B18" w:rsidRPr="003B4314" w14:paraId="385C37A3" w14:textId="77777777" w:rsidTr="001A2B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1667B6DC" w14:textId="77777777" w:rsidR="001A2B18" w:rsidRPr="003B4314" w:rsidRDefault="001A2B18" w:rsidP="009B202E">
            <w:pPr>
              <w:suppressLineNumbers/>
              <w:spacing w:after="120"/>
              <w:rPr>
                <w:rFonts w:cstheme="minorHAnsi"/>
              </w:rPr>
            </w:pPr>
            <w:r w:rsidRPr="003B4314">
              <w:rPr>
                <w:rFonts w:cstheme="minorHAnsi"/>
              </w:rPr>
              <w:t>Indikátor</w:t>
            </w:r>
          </w:p>
        </w:tc>
        <w:tc>
          <w:tcPr>
            <w:tcW w:w="1483" w:type="pct"/>
            <w:vAlign w:val="center"/>
          </w:tcPr>
          <w:p w14:paraId="23DEE0A1" w14:textId="77777777" w:rsidR="001A2B18" w:rsidRPr="003B4314" w:rsidRDefault="001A2B18"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Hodnota</w:t>
            </w:r>
          </w:p>
        </w:tc>
      </w:tr>
      <w:tr w:rsidR="00841401" w:rsidRPr="003B4314" w14:paraId="02C3915D"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44CF3611" w14:textId="77777777" w:rsidR="00841401" w:rsidRPr="003B4314" w:rsidRDefault="00841401" w:rsidP="009B202E">
            <w:pPr>
              <w:suppressLineNumbers/>
              <w:spacing w:after="120"/>
              <w:rPr>
                <w:rFonts w:cstheme="minorHAnsi"/>
                <w:b w:val="0"/>
              </w:rPr>
            </w:pPr>
            <w:r w:rsidRPr="003B4314">
              <w:rPr>
                <w:rFonts w:cstheme="minorHAnsi"/>
                <w:b w:val="0"/>
              </w:rPr>
              <w:t>Minimální počet podpořených projektů</w:t>
            </w:r>
          </w:p>
        </w:tc>
        <w:tc>
          <w:tcPr>
            <w:tcW w:w="1483" w:type="pct"/>
            <w:vAlign w:val="center"/>
          </w:tcPr>
          <w:p w14:paraId="5C59F973" w14:textId="25959578" w:rsidR="00841401" w:rsidRPr="003B4314" w:rsidRDefault="00E4270B"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100</w:t>
            </w:r>
          </w:p>
        </w:tc>
      </w:tr>
      <w:tr w:rsidR="00841401" w:rsidRPr="003B4314" w14:paraId="7958A9EF"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23AC556F" w14:textId="77777777" w:rsidR="00841401" w:rsidRPr="003B4314" w:rsidRDefault="00841401" w:rsidP="009B202E">
            <w:pPr>
              <w:suppressLineNumbers/>
              <w:spacing w:after="120"/>
              <w:rPr>
                <w:rFonts w:cstheme="minorHAnsi"/>
                <w:b w:val="0"/>
              </w:rPr>
            </w:pPr>
            <w:r w:rsidRPr="003B4314">
              <w:rPr>
                <w:rFonts w:cstheme="minorHAnsi"/>
                <w:b w:val="0"/>
              </w:rPr>
              <w:t>Minimální podíl úspěšně ukončených projektů</w:t>
            </w:r>
          </w:p>
        </w:tc>
        <w:tc>
          <w:tcPr>
            <w:tcW w:w="1483" w:type="pct"/>
            <w:vAlign w:val="center"/>
          </w:tcPr>
          <w:p w14:paraId="25564318" w14:textId="77777777" w:rsidR="00841401" w:rsidRPr="003B4314" w:rsidRDefault="00841401"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80 %</w:t>
            </w:r>
          </w:p>
        </w:tc>
      </w:tr>
      <w:tr w:rsidR="00841401" w:rsidRPr="003B4314" w14:paraId="7771ADD3"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597C3B32" w14:textId="77777777" w:rsidR="00841401" w:rsidRPr="003B4314" w:rsidRDefault="00841401" w:rsidP="009B202E">
            <w:pPr>
              <w:suppressLineNumbers/>
              <w:spacing w:after="120"/>
              <w:rPr>
                <w:rFonts w:cstheme="minorHAnsi"/>
                <w:b w:val="0"/>
              </w:rPr>
            </w:pPr>
            <w:r w:rsidRPr="003B4314">
              <w:rPr>
                <w:rFonts w:cstheme="minorHAnsi"/>
                <w:b w:val="0"/>
              </w:rPr>
              <w:t>Maximální podíl výsledků hodnocených jako D</w:t>
            </w:r>
            <w:r w:rsidRPr="003B4314">
              <w:rPr>
                <w:rStyle w:val="Znakapoznpodarou"/>
                <w:rFonts w:eastAsia="Calibri" w:cstheme="minorHAnsi"/>
                <w:b w:val="0"/>
              </w:rPr>
              <w:footnoteReference w:id="25"/>
            </w:r>
          </w:p>
        </w:tc>
        <w:tc>
          <w:tcPr>
            <w:tcW w:w="1483" w:type="pct"/>
            <w:vAlign w:val="center"/>
          </w:tcPr>
          <w:p w14:paraId="0DF7D34B" w14:textId="77777777" w:rsidR="00841401" w:rsidRPr="003B4314" w:rsidRDefault="00841401"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≤15 %</w:t>
            </w:r>
          </w:p>
        </w:tc>
      </w:tr>
      <w:tr w:rsidR="00841401" w:rsidRPr="003B4314" w14:paraId="705C05E6"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5F265FBA" w14:textId="77777777" w:rsidR="00841401" w:rsidRPr="003B4314" w:rsidRDefault="00841401" w:rsidP="009B202E">
            <w:pPr>
              <w:suppressLineNumbers/>
              <w:spacing w:after="120"/>
              <w:rPr>
                <w:rFonts w:cstheme="minorHAnsi"/>
                <w:b w:val="0"/>
              </w:rPr>
            </w:pPr>
            <w:r w:rsidRPr="003B4314">
              <w:rPr>
                <w:rFonts w:cstheme="minorHAnsi"/>
                <w:b w:val="0"/>
              </w:rPr>
              <w:t>Minimální podíl výsledků hodnocených jako A nebo B</w:t>
            </w:r>
          </w:p>
        </w:tc>
        <w:tc>
          <w:tcPr>
            <w:tcW w:w="1483" w:type="pct"/>
            <w:vAlign w:val="center"/>
          </w:tcPr>
          <w:p w14:paraId="5E3347F2" w14:textId="77777777" w:rsidR="00841401" w:rsidRPr="003B4314" w:rsidRDefault="00841401"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≥15 %</w:t>
            </w:r>
          </w:p>
        </w:tc>
      </w:tr>
    </w:tbl>
    <w:p w14:paraId="155B337B" w14:textId="342FC5CF" w:rsidR="001A2B18" w:rsidRPr="0075505C" w:rsidRDefault="0075505C" w:rsidP="009B202E">
      <w:pPr>
        <w:pStyle w:val="Titulek"/>
        <w:keepNext/>
        <w:suppressLineNumbers/>
        <w:spacing w:after="120"/>
        <w:rPr>
          <w:szCs w:val="22"/>
        </w:rPr>
      </w:pPr>
      <w:r w:rsidRPr="0075505C">
        <w:rPr>
          <w:szCs w:val="22"/>
        </w:rPr>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12</w:t>
      </w:r>
      <w:r w:rsidRPr="0075505C">
        <w:rPr>
          <w:szCs w:val="22"/>
        </w:rPr>
        <w:fldChar w:fldCharType="end"/>
      </w:r>
      <w:r w:rsidR="001C72C8">
        <w:rPr>
          <w:szCs w:val="22"/>
        </w:rPr>
        <w:t>: Hodnocení efektivity P</w:t>
      </w:r>
      <w:r w:rsidR="00A6509B" w:rsidRPr="0075505C">
        <w:rPr>
          <w:szCs w:val="22"/>
        </w:rPr>
        <w:t>rogramu</w:t>
      </w:r>
    </w:p>
    <w:p w14:paraId="2287D6F2" w14:textId="77777777" w:rsidR="0075505C" w:rsidRPr="0075505C" w:rsidRDefault="0075505C" w:rsidP="0075505C"/>
    <w:p w14:paraId="66D2B0F3" w14:textId="449B487A" w:rsidR="00D428AA" w:rsidRPr="004B6BFD" w:rsidRDefault="00D428AA" w:rsidP="004B6BFD">
      <w:pPr>
        <w:pStyle w:val="Nadpis2"/>
      </w:pPr>
      <w:bookmarkStart w:id="51" w:name="_Toc83296753"/>
      <w:r w:rsidRPr="004B6BFD">
        <w:t>Relevance</w:t>
      </w:r>
      <w:bookmarkEnd w:id="51"/>
    </w:p>
    <w:p w14:paraId="3BDB4E1E" w14:textId="63239A6D" w:rsidR="00952999" w:rsidRPr="003B4314" w:rsidRDefault="001A2B18" w:rsidP="009B202E">
      <w:pPr>
        <w:suppressLineNumbers/>
        <w:spacing w:after="120"/>
      </w:pPr>
      <w:r w:rsidRPr="003B4314">
        <w:t xml:space="preserve">Stejně jako v případě hodnocení efektivity, platí i u hodnocení relevance Programu, že základní minimální prahy lze stanovit pouze pro některé indikátory. </w:t>
      </w:r>
      <w:r w:rsidR="006A4221">
        <w:t>S</w:t>
      </w:r>
      <w:r w:rsidRPr="003B4314">
        <w:t xml:space="preserve">outěžní povaha </w:t>
      </w:r>
      <w:r w:rsidR="006A4221">
        <w:t xml:space="preserve">tohoto instrumentu </w:t>
      </w:r>
      <w:r w:rsidRPr="003B4314">
        <w:t xml:space="preserve">potom </w:t>
      </w:r>
      <w:r w:rsidR="006A4221" w:rsidRPr="003B4314">
        <w:t>vyžaduj</w:t>
      </w:r>
      <w:r w:rsidR="006A4221">
        <w:t>e</w:t>
      </w:r>
      <w:r w:rsidR="006A4221" w:rsidRPr="003B4314">
        <w:t xml:space="preserve"> </w:t>
      </w:r>
      <w:r w:rsidRPr="003B4314">
        <w:t xml:space="preserve">i řadu deskriptivních indikátorů, jejichž hodnoty nelze predikovat. </w:t>
      </w:r>
    </w:p>
    <w:tbl>
      <w:tblPr>
        <w:tblStyle w:val="Tabulkasmkou41"/>
        <w:tblW w:w="5000" w:type="pct"/>
        <w:tblLook w:val="04A0" w:firstRow="1" w:lastRow="0" w:firstColumn="1" w:lastColumn="0" w:noHBand="0" w:noVBand="1"/>
      </w:tblPr>
      <w:tblGrid>
        <w:gridCol w:w="6374"/>
        <w:gridCol w:w="2688"/>
      </w:tblGrid>
      <w:tr w:rsidR="001A2B18" w:rsidRPr="003B4314" w14:paraId="1757668D" w14:textId="77777777" w:rsidTr="001A2B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6750A7B1" w14:textId="77777777" w:rsidR="001A2B18" w:rsidRPr="003B4314" w:rsidRDefault="001A2B18" w:rsidP="009B202E">
            <w:pPr>
              <w:suppressLineNumbers/>
              <w:spacing w:after="120"/>
              <w:rPr>
                <w:rFonts w:cstheme="minorHAnsi"/>
              </w:rPr>
            </w:pPr>
            <w:r w:rsidRPr="003B4314">
              <w:rPr>
                <w:rFonts w:cstheme="minorHAnsi"/>
              </w:rPr>
              <w:t>Indikátor</w:t>
            </w:r>
          </w:p>
        </w:tc>
        <w:tc>
          <w:tcPr>
            <w:tcW w:w="1483" w:type="pct"/>
            <w:vAlign w:val="center"/>
          </w:tcPr>
          <w:p w14:paraId="1C3E267E" w14:textId="77777777" w:rsidR="001A2B18" w:rsidRPr="003B4314" w:rsidRDefault="001A2B18" w:rsidP="009B202E">
            <w:pPr>
              <w:suppressLineNumber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Hodnota</w:t>
            </w:r>
          </w:p>
        </w:tc>
      </w:tr>
      <w:tr w:rsidR="001A2B18" w:rsidRPr="003B4314" w14:paraId="6F49F4C5"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0F05DA3C" w14:textId="77777777" w:rsidR="001A2B18" w:rsidRPr="003B4314" w:rsidRDefault="001A2B18" w:rsidP="009B202E">
            <w:pPr>
              <w:suppressLineNumbers/>
              <w:spacing w:after="120"/>
              <w:rPr>
                <w:rFonts w:cstheme="minorHAnsi"/>
                <w:b w:val="0"/>
              </w:rPr>
            </w:pPr>
            <w:r w:rsidRPr="003B4314">
              <w:rPr>
                <w:rFonts w:cstheme="minorHAnsi"/>
                <w:b w:val="0"/>
              </w:rPr>
              <w:t>Vazba na NPOV</w:t>
            </w:r>
          </w:p>
        </w:tc>
        <w:tc>
          <w:tcPr>
            <w:tcW w:w="1483" w:type="pct"/>
            <w:vAlign w:val="center"/>
          </w:tcPr>
          <w:p w14:paraId="6E91ED4F" w14:textId="77777777" w:rsidR="001A2B18" w:rsidRPr="003B4314" w:rsidRDefault="001A2B18"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všechny projekty relevantní</w:t>
            </w:r>
          </w:p>
        </w:tc>
      </w:tr>
      <w:tr w:rsidR="001A2B18" w:rsidRPr="003B4314" w14:paraId="2BD3A02B"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03401A30" w14:textId="77777777" w:rsidR="001A2B18" w:rsidRPr="003B4314" w:rsidRDefault="001A2B18" w:rsidP="009B202E">
            <w:pPr>
              <w:suppressLineNumbers/>
              <w:spacing w:after="120"/>
              <w:rPr>
                <w:rFonts w:cstheme="minorHAnsi"/>
                <w:b w:val="0"/>
              </w:rPr>
            </w:pPr>
            <w:r w:rsidRPr="003B4314">
              <w:rPr>
                <w:rFonts w:cstheme="minorHAnsi"/>
                <w:b w:val="0"/>
              </w:rPr>
              <w:t>Vazba na RIS3</w:t>
            </w:r>
          </w:p>
        </w:tc>
        <w:tc>
          <w:tcPr>
            <w:tcW w:w="1483" w:type="pct"/>
            <w:vAlign w:val="center"/>
          </w:tcPr>
          <w:p w14:paraId="4D395736" w14:textId="77777777" w:rsidR="001A2B18" w:rsidRPr="003B4314" w:rsidRDefault="001A2B18"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všechny projekty relevantní</w:t>
            </w:r>
          </w:p>
        </w:tc>
      </w:tr>
      <w:tr w:rsidR="0086054B" w:rsidRPr="003B4314" w14:paraId="5950C3B8" w14:textId="77777777" w:rsidTr="001A2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tcPr>
          <w:p w14:paraId="70B44B2A" w14:textId="77777777" w:rsidR="0086054B" w:rsidRPr="003B4314" w:rsidRDefault="0086054B" w:rsidP="009B202E">
            <w:pPr>
              <w:suppressLineNumbers/>
              <w:spacing w:after="120"/>
              <w:rPr>
                <w:rFonts w:cstheme="minorHAnsi"/>
                <w:b w:val="0"/>
              </w:rPr>
            </w:pPr>
            <w:r w:rsidRPr="003B4314">
              <w:rPr>
                <w:b w:val="0"/>
              </w:rPr>
              <w:t>Vazba na NP VaVaI</w:t>
            </w:r>
          </w:p>
        </w:tc>
        <w:tc>
          <w:tcPr>
            <w:tcW w:w="1483" w:type="pct"/>
            <w:vAlign w:val="center"/>
          </w:tcPr>
          <w:p w14:paraId="4FB47747" w14:textId="77777777" w:rsidR="0086054B" w:rsidRPr="003B4314" w:rsidRDefault="0086054B"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všechny projekty relevantní</w:t>
            </w:r>
          </w:p>
        </w:tc>
      </w:tr>
      <w:tr w:rsidR="001A2B18" w:rsidRPr="003B4314" w14:paraId="7449828A" w14:textId="77777777" w:rsidTr="001A2B18">
        <w:tc>
          <w:tcPr>
            <w:cnfStyle w:val="001000000000" w:firstRow="0" w:lastRow="0" w:firstColumn="1" w:lastColumn="0" w:oddVBand="0" w:evenVBand="0" w:oddHBand="0" w:evenHBand="0" w:firstRowFirstColumn="0" w:firstRowLastColumn="0" w:lastRowFirstColumn="0" w:lastRowLastColumn="0"/>
            <w:tcW w:w="3517" w:type="pct"/>
          </w:tcPr>
          <w:p w14:paraId="3E9F090E" w14:textId="77777777" w:rsidR="001A2B18" w:rsidRPr="003B4314" w:rsidRDefault="00E64489" w:rsidP="009B202E">
            <w:pPr>
              <w:suppressLineNumbers/>
              <w:spacing w:after="120"/>
              <w:rPr>
                <w:rFonts w:cstheme="minorHAnsi"/>
                <w:b w:val="0"/>
              </w:rPr>
            </w:pPr>
            <w:r w:rsidRPr="003B4314">
              <w:rPr>
                <w:rFonts w:cstheme="minorHAnsi"/>
                <w:b w:val="0"/>
              </w:rPr>
              <w:lastRenderedPageBreak/>
              <w:t>Synergie s ostatními programy podpory BV</w:t>
            </w:r>
          </w:p>
        </w:tc>
        <w:tc>
          <w:tcPr>
            <w:tcW w:w="1483" w:type="pct"/>
            <w:vAlign w:val="center"/>
          </w:tcPr>
          <w:p w14:paraId="762B402A" w14:textId="77777777" w:rsidR="001A2B18" w:rsidRPr="003B4314" w:rsidRDefault="00E64489"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nedochází k duplicitám</w:t>
            </w:r>
            <w:r w:rsidR="005035CD" w:rsidRPr="003B4314">
              <w:rPr>
                <w:rStyle w:val="Znakapoznpodarou"/>
                <w:rFonts w:cstheme="minorHAnsi"/>
              </w:rPr>
              <w:footnoteReference w:id="26"/>
            </w:r>
          </w:p>
        </w:tc>
      </w:tr>
      <w:tr w:rsidR="0086054B" w:rsidRPr="003B4314" w14:paraId="025CBCA6" w14:textId="77777777" w:rsidTr="00E434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7" w:type="pct"/>
            <w:vAlign w:val="center"/>
          </w:tcPr>
          <w:p w14:paraId="4321EEEE" w14:textId="4F788F6A" w:rsidR="0086054B" w:rsidRPr="003B4314" w:rsidRDefault="0086054B" w:rsidP="009B202E">
            <w:pPr>
              <w:suppressLineNumbers/>
              <w:spacing w:after="120"/>
              <w:jc w:val="left"/>
              <w:rPr>
                <w:b w:val="0"/>
              </w:rPr>
            </w:pPr>
            <w:r w:rsidRPr="003B4314">
              <w:rPr>
                <w:b w:val="0"/>
              </w:rPr>
              <w:t>Minimální podíl juniorních výzkumníků</w:t>
            </w:r>
            <w:r w:rsidR="00640B8F">
              <w:rPr>
                <w:rStyle w:val="Znakapoznpodarou"/>
                <w:b w:val="0"/>
              </w:rPr>
              <w:footnoteReference w:id="27"/>
            </w:r>
          </w:p>
        </w:tc>
        <w:tc>
          <w:tcPr>
            <w:tcW w:w="1483" w:type="pct"/>
            <w:vAlign w:val="center"/>
          </w:tcPr>
          <w:p w14:paraId="07D7F19D" w14:textId="77777777" w:rsidR="0086054B" w:rsidRPr="003B4314" w:rsidRDefault="0086054B" w:rsidP="009B202E">
            <w:pPr>
              <w:suppressLineNumbers/>
              <w:spacing w:after="120"/>
              <w:jc w:val="center"/>
              <w:cnfStyle w:val="000000100000" w:firstRow="0" w:lastRow="0" w:firstColumn="0" w:lastColumn="0" w:oddVBand="0" w:evenVBand="0" w:oddHBand="1" w:evenHBand="0" w:firstRowFirstColumn="0" w:firstRowLastColumn="0" w:lastRowFirstColumn="0" w:lastRowLastColumn="0"/>
            </w:pPr>
            <w:r w:rsidRPr="003B4314">
              <w:t>≥ 20 %</w:t>
            </w:r>
          </w:p>
        </w:tc>
      </w:tr>
      <w:tr w:rsidR="0086054B" w:rsidRPr="003B4314" w14:paraId="149B22C3" w14:textId="77777777" w:rsidTr="00E4344C">
        <w:tc>
          <w:tcPr>
            <w:cnfStyle w:val="001000000000" w:firstRow="0" w:lastRow="0" w:firstColumn="1" w:lastColumn="0" w:oddVBand="0" w:evenVBand="0" w:oddHBand="0" w:evenHBand="0" w:firstRowFirstColumn="0" w:firstRowLastColumn="0" w:lastRowFirstColumn="0" w:lastRowLastColumn="0"/>
            <w:tcW w:w="3517" w:type="pct"/>
            <w:vAlign w:val="center"/>
          </w:tcPr>
          <w:p w14:paraId="3ABDF104" w14:textId="77777777" w:rsidR="0086054B" w:rsidRPr="003B4314" w:rsidRDefault="0086054B" w:rsidP="009B202E">
            <w:pPr>
              <w:suppressLineNumbers/>
              <w:spacing w:after="120"/>
              <w:jc w:val="left"/>
              <w:rPr>
                <w:b w:val="0"/>
              </w:rPr>
            </w:pPr>
            <w:r w:rsidRPr="003B4314">
              <w:rPr>
                <w:b w:val="0"/>
              </w:rPr>
              <w:t>Minimální zastoupení žen</w:t>
            </w:r>
          </w:p>
        </w:tc>
        <w:tc>
          <w:tcPr>
            <w:tcW w:w="1483" w:type="pct"/>
            <w:vAlign w:val="center"/>
          </w:tcPr>
          <w:p w14:paraId="23D3EF96" w14:textId="77777777" w:rsidR="0086054B" w:rsidRPr="003B4314" w:rsidRDefault="0086054B" w:rsidP="009B202E">
            <w:pPr>
              <w:suppressLineNumbers/>
              <w:spacing w:after="120"/>
              <w:jc w:val="center"/>
              <w:cnfStyle w:val="000000000000" w:firstRow="0" w:lastRow="0" w:firstColumn="0" w:lastColumn="0" w:oddVBand="0" w:evenVBand="0" w:oddHBand="0" w:evenHBand="0" w:firstRowFirstColumn="0" w:firstRowLastColumn="0" w:lastRowFirstColumn="0" w:lastRowLastColumn="0"/>
            </w:pPr>
            <w:r w:rsidRPr="003B4314">
              <w:t xml:space="preserve">≥ 26 % </w:t>
            </w:r>
            <w:r w:rsidRPr="003B4314">
              <w:rPr>
                <w:rStyle w:val="Znakapoznpodarou"/>
                <w:rFonts w:eastAsia="Calibri"/>
              </w:rPr>
              <w:footnoteReference w:id="28"/>
            </w:r>
          </w:p>
        </w:tc>
      </w:tr>
    </w:tbl>
    <w:p w14:paraId="1E916171" w14:textId="2A9FE322" w:rsidR="00A6509B" w:rsidRPr="0075505C" w:rsidRDefault="0075505C" w:rsidP="009B202E">
      <w:pPr>
        <w:pStyle w:val="Titulek"/>
        <w:keepNext/>
        <w:suppressLineNumbers/>
        <w:spacing w:after="120"/>
        <w:rPr>
          <w:szCs w:val="22"/>
        </w:rPr>
      </w:pPr>
      <w:r w:rsidRPr="0075505C">
        <w:rPr>
          <w:szCs w:val="22"/>
        </w:rPr>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13</w:t>
      </w:r>
      <w:r w:rsidRPr="0075505C">
        <w:rPr>
          <w:szCs w:val="22"/>
        </w:rPr>
        <w:fldChar w:fldCharType="end"/>
      </w:r>
      <w:r w:rsidR="001C72C8">
        <w:rPr>
          <w:szCs w:val="22"/>
        </w:rPr>
        <w:t>: Hodnocení relevance P</w:t>
      </w:r>
      <w:r w:rsidR="00A6509B" w:rsidRPr="0075505C">
        <w:rPr>
          <w:szCs w:val="22"/>
        </w:rPr>
        <w:t>rogramu</w:t>
      </w:r>
    </w:p>
    <w:p w14:paraId="414A9960" w14:textId="77777777" w:rsidR="0075505C" w:rsidRPr="0075505C" w:rsidRDefault="0075505C" w:rsidP="0075505C"/>
    <w:p w14:paraId="4DFCAD3E" w14:textId="67E83571" w:rsidR="00583369" w:rsidRPr="004B6BFD" w:rsidRDefault="00D428AA" w:rsidP="004B6BFD">
      <w:pPr>
        <w:pStyle w:val="Nadpis2"/>
      </w:pPr>
      <w:bookmarkStart w:id="52" w:name="_Toc83296754"/>
      <w:r w:rsidRPr="004B6BFD">
        <w:t>Dopady</w:t>
      </w:r>
      <w:bookmarkEnd w:id="52"/>
    </w:p>
    <w:p w14:paraId="3A725671" w14:textId="0E6EAEFA" w:rsidR="009A409A" w:rsidRPr="00583369" w:rsidRDefault="00583369" w:rsidP="004B6BFD">
      <w:pPr>
        <w:rPr>
          <w:rFonts w:eastAsia="Arial"/>
        </w:rPr>
      </w:pPr>
      <w:r>
        <w:rPr>
          <w:rFonts w:eastAsia="Calibri"/>
        </w:rPr>
        <w:t xml:space="preserve">Tematické okruhy hodnocení dopadů jsou voleny s důrazem na očekávané přínosy Programu a jsou členěny </w:t>
      </w:r>
      <w:r w:rsidR="009A409A" w:rsidRPr="00583369">
        <w:rPr>
          <w:rFonts w:eastAsia="Calibri"/>
        </w:rPr>
        <w:t>do 6 následujících kapitol: potenciál pro rozvoj zkoumaného tématu/oblasti, další výzkumné aktivity (navazující spolupráce, ocenění spojená s projektem aj.), popularizace v komunitě (konferenční činnost, neakademická komunita, mediální prezentace aj.), vzdělávání (akademické vzdělávání, profesní příprava aj.), bezpečnostní politika (legislativní/neleg</w:t>
      </w:r>
      <w:r w:rsidR="001C72C8">
        <w:rPr>
          <w:rFonts w:eastAsia="Calibri"/>
        </w:rPr>
        <w:t xml:space="preserve">islativní předpisy, koncepční a </w:t>
      </w:r>
      <w:r w:rsidR="009A409A" w:rsidRPr="00583369">
        <w:rPr>
          <w:rFonts w:eastAsia="Calibri"/>
        </w:rPr>
        <w:t>strategické materiály, programy a evaluace.) a produkty (licenční využití výsledků, výroba, s</w:t>
      </w:r>
      <w:r w:rsidR="00210F77">
        <w:rPr>
          <w:rFonts w:eastAsia="Calibri"/>
        </w:rPr>
        <w:t>pin-off, navazující služby aj.).</w:t>
      </w:r>
      <w:r w:rsidRPr="00583369">
        <w:rPr>
          <w:rFonts w:eastAsia="Calibri"/>
        </w:rPr>
        <w:t xml:space="preserve"> </w:t>
      </w:r>
    </w:p>
    <w:p w14:paraId="11CF4BE5" w14:textId="2870DA6B" w:rsidR="003E47D0" w:rsidRPr="003B4314" w:rsidRDefault="003E47D0" w:rsidP="009B202E">
      <w:pPr>
        <w:suppressLineNumbers/>
        <w:spacing w:after="120"/>
      </w:pPr>
      <w:r w:rsidRPr="003B4314">
        <w:t xml:space="preserve">Jedinou hodnověrnou metodou pro sledování tohoto typu dopadů jsou případové studie. Vzhledem k předpokládanému počtu projektů </w:t>
      </w:r>
      <w:r w:rsidR="00EB24B1" w:rsidRPr="003B4314">
        <w:t xml:space="preserve">se předpokládá realizace případových studií u </w:t>
      </w:r>
      <w:r w:rsidR="00583369">
        <w:t xml:space="preserve">reprezentativního vzorku </w:t>
      </w:r>
      <w:r w:rsidR="00EB24B1" w:rsidRPr="003B4314">
        <w:t>podpořených projektů. T</w:t>
      </w:r>
      <w:r w:rsidR="00583369">
        <w:t>y</w:t>
      </w:r>
      <w:r w:rsidR="00EB24B1" w:rsidRPr="003B4314">
        <w:t xml:space="preserve"> by měl</w:t>
      </w:r>
      <w:r w:rsidR="00583369">
        <w:t>y</w:t>
      </w:r>
      <w:r w:rsidR="00EB24B1" w:rsidRPr="003B4314">
        <w:t xml:space="preserve"> přinést zásadní formativní vs</w:t>
      </w:r>
      <w:r w:rsidR="0075505C">
        <w:t>tupy pro plánování dalších kol P</w:t>
      </w:r>
      <w:r w:rsidR="00EB24B1" w:rsidRPr="003B4314">
        <w:t xml:space="preserve">rogramu i z projektů, kde implementace neprobíhá úspěšně. </w:t>
      </w:r>
    </w:p>
    <w:p w14:paraId="16262621" w14:textId="057E8126" w:rsidR="00952999" w:rsidRPr="003B4314" w:rsidRDefault="00EB24B1" w:rsidP="009B202E">
      <w:pPr>
        <w:suppressLineNumbers/>
        <w:spacing w:after="120"/>
      </w:pPr>
      <w:r w:rsidRPr="003B4314">
        <w:t xml:space="preserve">V rámci realizace hodnocení se předpokládá každoroční interakce s podpořenými subjekty formou řízených </w:t>
      </w:r>
      <w:r w:rsidR="00583369">
        <w:t>dotazníků</w:t>
      </w:r>
      <w:r w:rsidRPr="003B4314">
        <w:t xml:space="preserve">, které také představují hlavní zdroj dat pro hodnocení. </w:t>
      </w:r>
      <w:r w:rsidR="00F2752D" w:rsidRPr="003B4314">
        <w:t>Hodnotící zpráva bud</w:t>
      </w:r>
      <w:r w:rsidR="0075505C">
        <w:t>e vytvořena 4 roky po ukončení P</w:t>
      </w:r>
      <w:r w:rsidR="00F2752D" w:rsidRPr="003B4314">
        <w:t>rogramu, tj. rok po vyhodnocení období udržitelno</w:t>
      </w:r>
      <w:r w:rsidR="0075505C">
        <w:t>sti projektů z posledního běhu P</w:t>
      </w:r>
      <w:r w:rsidR="00F2752D" w:rsidRPr="003B4314">
        <w:t xml:space="preserve">rogramu. </w:t>
      </w:r>
    </w:p>
    <w:tbl>
      <w:tblPr>
        <w:tblStyle w:val="Tabulkasmkou41"/>
        <w:tblW w:w="5000" w:type="pct"/>
        <w:tblLook w:val="04A0" w:firstRow="1" w:lastRow="0" w:firstColumn="1" w:lastColumn="0" w:noHBand="0" w:noVBand="1"/>
      </w:tblPr>
      <w:tblGrid>
        <w:gridCol w:w="3592"/>
        <w:gridCol w:w="2782"/>
        <w:gridCol w:w="2688"/>
      </w:tblGrid>
      <w:tr w:rsidR="00571F71" w:rsidRPr="003B4314" w14:paraId="5CD7E666" w14:textId="77777777" w:rsidTr="005467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Pr>
          <w:p w14:paraId="50916E12" w14:textId="77777777" w:rsidR="00571F71" w:rsidRPr="003B4314" w:rsidRDefault="00571F71" w:rsidP="009B202E">
            <w:pPr>
              <w:suppressLineNumbers/>
              <w:spacing w:after="120"/>
              <w:rPr>
                <w:rFonts w:cstheme="minorHAnsi"/>
              </w:rPr>
            </w:pPr>
            <w:r w:rsidRPr="003B4314">
              <w:rPr>
                <w:rFonts w:cstheme="minorHAnsi"/>
              </w:rPr>
              <w:t>Otázka</w:t>
            </w:r>
          </w:p>
        </w:tc>
        <w:tc>
          <w:tcPr>
            <w:tcW w:w="1535" w:type="pct"/>
          </w:tcPr>
          <w:p w14:paraId="76387736" w14:textId="77777777" w:rsidR="00571F71" w:rsidRPr="003B4314" w:rsidRDefault="00571F71" w:rsidP="009B202E">
            <w:pPr>
              <w:suppressLineNumbers/>
              <w:spacing w:after="120"/>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Indikátor</w:t>
            </w:r>
          </w:p>
        </w:tc>
        <w:tc>
          <w:tcPr>
            <w:tcW w:w="1483" w:type="pct"/>
          </w:tcPr>
          <w:p w14:paraId="6F42482D" w14:textId="77777777" w:rsidR="00571F71" w:rsidRPr="003B4314" w:rsidRDefault="00571F71" w:rsidP="009B202E">
            <w:pPr>
              <w:suppressLineNumbers/>
              <w:spacing w:after="120"/>
              <w:cnfStyle w:val="100000000000" w:firstRow="1" w:lastRow="0" w:firstColumn="0" w:lastColumn="0" w:oddVBand="0" w:evenVBand="0" w:oddHBand="0" w:evenHBand="0" w:firstRowFirstColumn="0" w:firstRowLastColumn="0" w:lastRowFirstColumn="0" w:lastRowLastColumn="0"/>
              <w:rPr>
                <w:rFonts w:cstheme="minorHAnsi"/>
              </w:rPr>
            </w:pPr>
            <w:r w:rsidRPr="003B4314">
              <w:rPr>
                <w:rFonts w:cstheme="minorHAnsi"/>
              </w:rPr>
              <w:t>Metoda</w:t>
            </w:r>
          </w:p>
        </w:tc>
      </w:tr>
      <w:tr w:rsidR="00571F71" w:rsidRPr="003B4314" w14:paraId="1084E447"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Pr>
          <w:p w14:paraId="61AEC13A" w14:textId="77777777" w:rsidR="00571F71" w:rsidRPr="003B4314" w:rsidRDefault="00571F71" w:rsidP="009B202E">
            <w:pPr>
              <w:suppressLineNumbers/>
              <w:spacing w:after="120"/>
              <w:jc w:val="left"/>
              <w:rPr>
                <w:rFonts w:cstheme="minorHAnsi"/>
                <w:b w:val="0"/>
              </w:rPr>
            </w:pPr>
            <w:r w:rsidRPr="003B4314">
              <w:rPr>
                <w:rFonts w:cstheme="minorHAnsi"/>
                <w:b w:val="0"/>
              </w:rPr>
              <w:t xml:space="preserve">Jsou výsledky šířeny mezi uživatelskou komunitu? Jak? </w:t>
            </w:r>
          </w:p>
        </w:tc>
        <w:tc>
          <w:tcPr>
            <w:tcW w:w="1535" w:type="pct"/>
          </w:tcPr>
          <w:p w14:paraId="0837B6AD" w14:textId="77777777" w:rsidR="00571F71" w:rsidRPr="003B4314" w:rsidRDefault="00571F71"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Implementace výsledků (společenský dopad)</w:t>
            </w:r>
          </w:p>
        </w:tc>
        <w:tc>
          <w:tcPr>
            <w:tcW w:w="1483" w:type="pct"/>
          </w:tcPr>
          <w:p w14:paraId="5C67ADD6" w14:textId="06F47DDD" w:rsidR="00571F71" w:rsidRPr="003B4314" w:rsidRDefault="00571F71"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Mapování implementace</w:t>
            </w:r>
            <w:r w:rsidR="00780C2F">
              <w:rPr>
                <w:rFonts w:cstheme="minorHAnsi"/>
              </w:rPr>
              <w:t xml:space="preserve"> (dotazníkové šetření, každoroční)</w:t>
            </w:r>
          </w:p>
        </w:tc>
      </w:tr>
      <w:tr w:rsidR="00571F71" w:rsidRPr="003B4314" w14:paraId="50B49C6D" w14:textId="77777777" w:rsidTr="00546703">
        <w:tc>
          <w:tcPr>
            <w:cnfStyle w:val="001000000000" w:firstRow="0" w:lastRow="0" w:firstColumn="1" w:lastColumn="0" w:oddVBand="0" w:evenVBand="0" w:oddHBand="0" w:evenHBand="0" w:firstRowFirstColumn="0" w:firstRowLastColumn="0" w:lastRowFirstColumn="0" w:lastRowLastColumn="0"/>
            <w:tcW w:w="1982" w:type="pct"/>
          </w:tcPr>
          <w:p w14:paraId="55364318" w14:textId="77777777" w:rsidR="00571F71" w:rsidRPr="003B4314" w:rsidRDefault="00571F71" w:rsidP="009B202E">
            <w:pPr>
              <w:suppressLineNumbers/>
              <w:spacing w:after="120"/>
              <w:jc w:val="left"/>
              <w:rPr>
                <w:rFonts w:cstheme="minorHAnsi"/>
                <w:b w:val="0"/>
              </w:rPr>
            </w:pPr>
            <w:r w:rsidRPr="003B4314">
              <w:rPr>
                <w:rFonts w:cstheme="minorHAnsi"/>
                <w:b w:val="0"/>
              </w:rPr>
              <w:t>Kdo používá aplikované výsledky a k čemu přispěly?</w:t>
            </w:r>
          </w:p>
        </w:tc>
        <w:tc>
          <w:tcPr>
            <w:tcW w:w="1535" w:type="pct"/>
          </w:tcPr>
          <w:p w14:paraId="1DB8DE9D" w14:textId="77777777" w:rsidR="00571F71" w:rsidRPr="003B4314" w:rsidRDefault="00571F71" w:rsidP="009B202E">
            <w:pPr>
              <w:suppressLineNumbers/>
              <w:spacing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Využití aplikovaných výsledků</w:t>
            </w:r>
          </w:p>
        </w:tc>
        <w:tc>
          <w:tcPr>
            <w:tcW w:w="1483" w:type="pct"/>
          </w:tcPr>
          <w:p w14:paraId="58410048" w14:textId="77777777" w:rsidR="00571F71" w:rsidRPr="003B4314" w:rsidRDefault="00571F71" w:rsidP="009B202E">
            <w:pPr>
              <w:suppressLineNumbers/>
              <w:spacing w:after="120"/>
              <w:jc w:val="left"/>
              <w:cnfStyle w:val="000000000000" w:firstRow="0" w:lastRow="0" w:firstColumn="0" w:lastColumn="0" w:oddVBand="0" w:evenVBand="0" w:oddHBand="0" w:evenHBand="0" w:firstRowFirstColumn="0" w:firstRowLastColumn="0" w:lastRowFirstColumn="0" w:lastRowLastColumn="0"/>
              <w:rPr>
                <w:rFonts w:cstheme="minorHAnsi"/>
              </w:rPr>
            </w:pPr>
            <w:r w:rsidRPr="003B4314">
              <w:rPr>
                <w:rFonts w:cstheme="minorHAnsi"/>
              </w:rPr>
              <w:t>Případové studie na vzorku výsledků</w:t>
            </w:r>
          </w:p>
        </w:tc>
      </w:tr>
      <w:tr w:rsidR="00EB24B1" w:rsidRPr="003B4314" w14:paraId="7BB4D29C" w14:textId="77777777" w:rsidTr="005467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2" w:type="pct"/>
          </w:tcPr>
          <w:p w14:paraId="3BE1EC5F" w14:textId="5DA828E1" w:rsidR="00EB24B1" w:rsidRPr="003B4314" w:rsidRDefault="0075505C" w:rsidP="009B202E">
            <w:pPr>
              <w:suppressLineNumbers/>
              <w:spacing w:after="120"/>
              <w:jc w:val="left"/>
              <w:rPr>
                <w:rFonts w:cstheme="minorHAnsi"/>
                <w:b w:val="0"/>
              </w:rPr>
            </w:pPr>
            <w:r>
              <w:rPr>
                <w:rFonts w:cstheme="minorHAnsi"/>
                <w:b w:val="0"/>
              </w:rPr>
              <w:t>Jaký je vliv P</w:t>
            </w:r>
            <w:r w:rsidR="00EB24B1" w:rsidRPr="003B4314">
              <w:rPr>
                <w:rFonts w:cstheme="minorHAnsi"/>
                <w:b w:val="0"/>
              </w:rPr>
              <w:t>rogramu na další vývojovou aktivitu?</w:t>
            </w:r>
          </w:p>
        </w:tc>
        <w:tc>
          <w:tcPr>
            <w:tcW w:w="1535" w:type="pct"/>
          </w:tcPr>
          <w:p w14:paraId="6535CC21" w14:textId="77777777" w:rsidR="00EB24B1" w:rsidRPr="003B4314" w:rsidRDefault="00EB24B1"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Navazující projekty, předcházející projekty bez ohledu na zdroj</w:t>
            </w:r>
          </w:p>
        </w:tc>
        <w:tc>
          <w:tcPr>
            <w:tcW w:w="1483" w:type="pct"/>
          </w:tcPr>
          <w:p w14:paraId="5BE5031A" w14:textId="77777777" w:rsidR="00EB24B1" w:rsidRPr="003B4314" w:rsidRDefault="00EB24B1" w:rsidP="009B202E">
            <w:pPr>
              <w:suppressLineNumbers/>
              <w:spacing w:after="120"/>
              <w:jc w:val="left"/>
              <w:cnfStyle w:val="000000100000" w:firstRow="0" w:lastRow="0" w:firstColumn="0" w:lastColumn="0" w:oddVBand="0" w:evenVBand="0" w:oddHBand="1" w:evenHBand="0" w:firstRowFirstColumn="0" w:firstRowLastColumn="0" w:lastRowFirstColumn="0" w:lastRowLastColumn="0"/>
              <w:rPr>
                <w:rFonts w:cstheme="minorHAnsi"/>
              </w:rPr>
            </w:pPr>
            <w:r w:rsidRPr="003B4314">
              <w:rPr>
                <w:rFonts w:cstheme="minorHAnsi"/>
              </w:rPr>
              <w:t>Relační analýza</w:t>
            </w:r>
          </w:p>
        </w:tc>
      </w:tr>
    </w:tbl>
    <w:p w14:paraId="077B7474" w14:textId="60E87D17" w:rsidR="00A6509B" w:rsidRPr="0075505C" w:rsidRDefault="0075505C" w:rsidP="009B202E">
      <w:pPr>
        <w:pStyle w:val="Titulek"/>
        <w:keepNext/>
        <w:suppressLineNumbers/>
        <w:spacing w:after="120"/>
        <w:rPr>
          <w:szCs w:val="22"/>
        </w:rPr>
      </w:pPr>
      <w:r w:rsidRPr="0075505C">
        <w:rPr>
          <w:szCs w:val="22"/>
        </w:rPr>
        <w:t>Tabulka</w:t>
      </w:r>
      <w:r w:rsidR="00A6509B" w:rsidRPr="0075505C">
        <w:rPr>
          <w:szCs w:val="22"/>
        </w:rPr>
        <w:t xml:space="preserve"> </w:t>
      </w:r>
      <w:r w:rsidRPr="0075505C">
        <w:rPr>
          <w:szCs w:val="22"/>
        </w:rPr>
        <w:fldChar w:fldCharType="begin"/>
      </w:r>
      <w:r w:rsidRPr="0075505C">
        <w:rPr>
          <w:szCs w:val="22"/>
        </w:rPr>
        <w:instrText xml:space="preserve"> SEQ Tabulka \* ARABIC </w:instrText>
      </w:r>
      <w:r w:rsidRPr="0075505C">
        <w:rPr>
          <w:szCs w:val="22"/>
        </w:rPr>
        <w:fldChar w:fldCharType="separate"/>
      </w:r>
      <w:r w:rsidRPr="0075505C">
        <w:rPr>
          <w:noProof/>
          <w:szCs w:val="22"/>
        </w:rPr>
        <w:t>14</w:t>
      </w:r>
      <w:r w:rsidRPr="0075505C">
        <w:rPr>
          <w:szCs w:val="22"/>
        </w:rPr>
        <w:fldChar w:fldCharType="end"/>
      </w:r>
      <w:r w:rsidR="001C72C8">
        <w:rPr>
          <w:szCs w:val="22"/>
        </w:rPr>
        <w:t>: Hodnocení dopadů P</w:t>
      </w:r>
      <w:r w:rsidR="00A6509B" w:rsidRPr="0075505C">
        <w:rPr>
          <w:szCs w:val="22"/>
        </w:rPr>
        <w:t>rogramu</w:t>
      </w:r>
    </w:p>
    <w:p w14:paraId="262F350C" w14:textId="77777777" w:rsidR="0071798A" w:rsidRPr="003B4314" w:rsidRDefault="0071798A" w:rsidP="009B202E">
      <w:pPr>
        <w:suppressLineNumbers/>
        <w:spacing w:after="120"/>
      </w:pPr>
    </w:p>
    <w:p w14:paraId="7C12DBF5" w14:textId="77777777" w:rsidR="00954039" w:rsidRPr="003B4314" w:rsidRDefault="00954039" w:rsidP="009B202E">
      <w:pPr>
        <w:suppressLineNumbers/>
        <w:spacing w:after="120"/>
      </w:pPr>
    </w:p>
    <w:p w14:paraId="7A8D3498" w14:textId="77777777" w:rsidR="00954039" w:rsidRPr="003B4314" w:rsidRDefault="00954039" w:rsidP="009B202E">
      <w:pPr>
        <w:suppressLineNumbers/>
        <w:spacing w:after="120"/>
      </w:pPr>
    </w:p>
    <w:p w14:paraId="0B7D9942" w14:textId="46BE2E64" w:rsidR="00954039" w:rsidRPr="003B4314" w:rsidRDefault="00954039" w:rsidP="009B202E">
      <w:pPr>
        <w:suppressLineNumbers/>
        <w:spacing w:after="120"/>
      </w:pPr>
    </w:p>
    <w:sectPr w:rsidR="00954039" w:rsidRPr="003B4314" w:rsidSect="007D3CE5">
      <w:headerReference w:type="default" r:id="rId13"/>
      <w:footerReference w:type="default" r:id="rId14"/>
      <w:pgSz w:w="11906" w:h="16838"/>
      <w:pgMar w:top="1417" w:right="1417" w:bottom="1417" w:left="1417" w:header="567"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6C9B34" w16cid:durableId="24F34A15"/>
  <w16cid:commentId w16cid:paraId="6BB21DBF" w16cid:durableId="24F349A4"/>
  <w16cid:commentId w16cid:paraId="095FF556" w16cid:durableId="24F346B5"/>
  <w16cid:commentId w16cid:paraId="09A4C2B2" w16cid:durableId="24F345DC"/>
  <w16cid:commentId w16cid:paraId="626E75B1" w16cid:durableId="24F345CA"/>
  <w16cid:commentId w16cid:paraId="0D1B23D9" w16cid:durableId="24F356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E7CBA" w14:textId="77777777" w:rsidR="00AD0DA4" w:rsidRDefault="00AD0DA4" w:rsidP="00E614EA">
      <w:pPr>
        <w:spacing w:after="0"/>
      </w:pPr>
      <w:r>
        <w:separator/>
      </w:r>
    </w:p>
  </w:endnote>
  <w:endnote w:type="continuationSeparator" w:id="0">
    <w:p w14:paraId="45F457D5" w14:textId="77777777" w:rsidR="00AD0DA4" w:rsidRDefault="00AD0DA4" w:rsidP="00E614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OneByteIdentityH">
    <w:altName w:val="MS Goth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996768"/>
      <w:docPartObj>
        <w:docPartGallery w:val="Page Numbers (Bottom of Page)"/>
        <w:docPartUnique/>
      </w:docPartObj>
    </w:sdtPr>
    <w:sdtEndPr/>
    <w:sdtContent>
      <w:p w14:paraId="628F02BC" w14:textId="10EBD312" w:rsidR="007D3CE5" w:rsidRDefault="007D3CE5">
        <w:pPr>
          <w:pStyle w:val="Zpat"/>
          <w:jc w:val="center"/>
        </w:pPr>
        <w:r>
          <w:fldChar w:fldCharType="begin"/>
        </w:r>
        <w:r>
          <w:instrText>PAGE   \* MERGEFORMAT</w:instrText>
        </w:r>
        <w:r>
          <w:fldChar w:fldCharType="separate"/>
        </w:r>
        <w:r w:rsidR="0027429E">
          <w:rPr>
            <w:noProof/>
          </w:rPr>
          <w:t>26</w:t>
        </w:r>
        <w:r>
          <w:fldChar w:fldCharType="end"/>
        </w:r>
      </w:p>
    </w:sdtContent>
  </w:sdt>
  <w:p w14:paraId="11E8E501" w14:textId="77777777" w:rsidR="007D3CE5" w:rsidRDefault="007D3C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9A368" w14:textId="77777777" w:rsidR="00AD0DA4" w:rsidRDefault="00AD0DA4" w:rsidP="00E614EA">
      <w:pPr>
        <w:spacing w:after="0"/>
      </w:pPr>
      <w:r>
        <w:separator/>
      </w:r>
    </w:p>
  </w:footnote>
  <w:footnote w:type="continuationSeparator" w:id="0">
    <w:p w14:paraId="2CF9D392" w14:textId="77777777" w:rsidR="00AD0DA4" w:rsidRDefault="00AD0DA4" w:rsidP="00E614EA">
      <w:pPr>
        <w:spacing w:after="0"/>
      </w:pPr>
      <w:r>
        <w:continuationSeparator/>
      </w:r>
    </w:p>
  </w:footnote>
  <w:footnote w:id="1">
    <w:p w14:paraId="319CEA37" w14:textId="2ABE89F6" w:rsidR="007D3CE5" w:rsidRDefault="007D3CE5" w:rsidP="0075505C">
      <w:r>
        <w:rPr>
          <w:rStyle w:val="Znakapoznpodarou"/>
        </w:rPr>
        <w:footnoteRef/>
      </w:r>
      <w:r>
        <w:t xml:space="preserve"> </w:t>
      </w:r>
      <w:r w:rsidRPr="00E060D4">
        <w:rPr>
          <w:sz w:val="16"/>
          <w:szCs w:val="16"/>
        </w:rPr>
        <w:t xml:space="preserve">Pokud projekt i žadatel splňují požadavky zákona č. 412/2005 Sb., o ochraně utajovaných informací a bezpečnostní způsobilosti a projekt svým věcným zaměřením spadá do některé z oblastí vymezených </w:t>
      </w:r>
      <w:r w:rsidRPr="00112AEF">
        <w:rPr>
          <w:sz w:val="16"/>
          <w:szCs w:val="16"/>
        </w:rPr>
        <w:t>nařízením vlády č. 522/2005 Sb., který</w:t>
      </w:r>
      <w:r>
        <w:rPr>
          <w:sz w:val="16"/>
          <w:szCs w:val="16"/>
        </w:rPr>
        <w:t>m se stanoví seznam utajovaných</w:t>
      </w:r>
      <w:r>
        <w:t xml:space="preserve"> </w:t>
      </w:r>
      <w:r w:rsidRPr="000C1602">
        <w:rPr>
          <w:rFonts w:cstheme="minorHAnsi"/>
          <w:sz w:val="16"/>
          <w:szCs w:val="16"/>
        </w:rPr>
        <w:t>informací, ve znění pozdějších předpisů, resp. projekt naplňuje charakteristiky „zvláštních skutečností“ významných pro krizové řízení ve smyslu §27 zákona č. 240/2000 Sb., o krizovém řízení a o změně některých zákonů (krizový zákon).</w:t>
      </w:r>
    </w:p>
  </w:footnote>
  <w:footnote w:id="2">
    <w:p w14:paraId="30A0B381" w14:textId="77777777" w:rsidR="007D3CE5" w:rsidRPr="000C1602" w:rsidRDefault="007D3CE5" w:rsidP="009F3004">
      <w:pPr>
        <w:pStyle w:val="Bezmezer"/>
        <w:rPr>
          <w:rFonts w:cstheme="minorHAnsi"/>
          <w:sz w:val="16"/>
          <w:szCs w:val="16"/>
        </w:rPr>
      </w:pPr>
      <w:r w:rsidRPr="000C1602">
        <w:rPr>
          <w:rStyle w:val="Znakapoznpodarou"/>
          <w:rFonts w:cstheme="minorHAnsi"/>
          <w:sz w:val="16"/>
          <w:szCs w:val="16"/>
        </w:rPr>
        <w:footnoteRef/>
      </w:r>
      <w:r w:rsidRPr="000C1602">
        <w:rPr>
          <w:rFonts w:cstheme="minorHAnsi"/>
          <w:sz w:val="16"/>
          <w:szCs w:val="16"/>
        </w:rPr>
        <w:t xml:space="preserve"> </w:t>
      </w:r>
      <w:r w:rsidRPr="000C1602">
        <w:rPr>
          <w:rFonts w:eastAsia="Calibri-OneByteIdentityH" w:cstheme="minorHAnsi"/>
          <w:sz w:val="16"/>
          <w:szCs w:val="16"/>
        </w:rPr>
        <w:t>Usnesení vlády č. 509/2017, o Meziresortní koncepci podpory bezpečnostního výzkumu ČR 2017–2023 s výhledem do roku 2030</w:t>
      </w:r>
    </w:p>
  </w:footnote>
  <w:footnote w:id="3">
    <w:p w14:paraId="20132226" w14:textId="77777777" w:rsidR="007D3CE5" w:rsidRPr="000C1602" w:rsidRDefault="007D3CE5" w:rsidP="009F3004">
      <w:pPr>
        <w:pStyle w:val="Bezmezer"/>
        <w:rPr>
          <w:rFonts w:cstheme="minorHAnsi"/>
          <w:sz w:val="16"/>
          <w:szCs w:val="16"/>
        </w:rPr>
      </w:pPr>
      <w:r w:rsidRPr="000C1602">
        <w:rPr>
          <w:rStyle w:val="Znakapoznpodarou"/>
          <w:rFonts w:cstheme="minorHAnsi"/>
          <w:sz w:val="16"/>
          <w:szCs w:val="16"/>
        </w:rPr>
        <w:footnoteRef/>
      </w:r>
      <w:r w:rsidRPr="000C1602">
        <w:rPr>
          <w:rFonts w:cstheme="minorHAnsi"/>
          <w:sz w:val="16"/>
          <w:szCs w:val="16"/>
        </w:rPr>
        <w:t xml:space="preserve"> Usnesení vlády č. č. 759/2020 </w:t>
      </w:r>
      <w:r w:rsidRPr="000C1602">
        <w:rPr>
          <w:rFonts w:cstheme="minorHAnsi"/>
          <w:bCs/>
          <w:sz w:val="16"/>
          <w:szCs w:val="16"/>
        </w:rPr>
        <w:t>k Národní politice výzkumu, vývoje a inovací České republiky 2021+</w:t>
      </w:r>
      <w:r w:rsidRPr="000C1602">
        <w:rPr>
          <w:rFonts w:cstheme="minorHAnsi"/>
          <w:b/>
          <w:bCs/>
          <w:sz w:val="16"/>
          <w:szCs w:val="16"/>
        </w:rPr>
        <w:t xml:space="preserve"> </w:t>
      </w:r>
    </w:p>
  </w:footnote>
  <w:footnote w:id="4">
    <w:p w14:paraId="1911CDD2" w14:textId="77777777" w:rsidR="007D3CE5" w:rsidRPr="000C1602" w:rsidRDefault="007D3CE5" w:rsidP="009F3004">
      <w:pPr>
        <w:pStyle w:val="Bezmezer"/>
        <w:rPr>
          <w:rFonts w:cstheme="minorHAnsi"/>
          <w:sz w:val="16"/>
          <w:szCs w:val="16"/>
        </w:rPr>
      </w:pPr>
      <w:r w:rsidRPr="000C1602">
        <w:rPr>
          <w:rStyle w:val="Znakapoznpodarou"/>
          <w:rFonts w:cstheme="minorHAnsi"/>
          <w:sz w:val="16"/>
          <w:szCs w:val="16"/>
        </w:rPr>
        <w:footnoteRef/>
      </w:r>
      <w:r w:rsidRPr="000C1602">
        <w:rPr>
          <w:rFonts w:cstheme="minorHAnsi"/>
          <w:sz w:val="16"/>
          <w:szCs w:val="16"/>
        </w:rPr>
        <w:t xml:space="preserve">  </w:t>
      </w:r>
      <w:r w:rsidRPr="000C1602">
        <w:rPr>
          <w:rFonts w:eastAsia="Calibri-OneByteIdentityH" w:cstheme="minorHAnsi"/>
          <w:sz w:val="16"/>
          <w:szCs w:val="16"/>
        </w:rPr>
        <w:t>Usnesení vlády č. 104/2019, o Inovační strategii České republiky 2019–2030</w:t>
      </w:r>
    </w:p>
  </w:footnote>
  <w:footnote w:id="5">
    <w:p w14:paraId="5B11A5BD" w14:textId="6EF51FAC" w:rsidR="007D3CE5" w:rsidRPr="00E060D4" w:rsidRDefault="007D3CE5" w:rsidP="009F3004">
      <w:pPr>
        <w:pStyle w:val="Bezmezer"/>
        <w:rPr>
          <w:sz w:val="16"/>
          <w:szCs w:val="16"/>
        </w:rPr>
      </w:pPr>
      <w:r w:rsidRPr="00E060D4">
        <w:rPr>
          <w:rStyle w:val="Znakapoznpodarou"/>
          <w:sz w:val="16"/>
          <w:szCs w:val="16"/>
        </w:rPr>
        <w:footnoteRef/>
      </w:r>
      <w:r w:rsidRPr="00E060D4">
        <w:rPr>
          <w:sz w:val="16"/>
          <w:szCs w:val="16"/>
        </w:rPr>
        <w:t xml:space="preserve"> viz například zohlednění závěrů Auditu národní bezpečnosti v rámci 3. veřejné soutěže Programu bezpečnostního výzkumu ČR v letech 2015 až 2022 (Program VI) či rychlá reakce na pandemickou krizi vyhlášením 4. veřejné soutěže, zaměřené na řešení epidemiologických hrozeb, v rámci téhož programu.</w:t>
      </w:r>
    </w:p>
  </w:footnote>
  <w:footnote w:id="6">
    <w:p w14:paraId="0D51F0C6" w14:textId="66D5B267" w:rsidR="007D3CE5" w:rsidRDefault="007D3CE5" w:rsidP="009F3004">
      <w:pPr>
        <w:pStyle w:val="Textpoznpodarou"/>
        <w:ind w:firstLine="0"/>
      </w:pPr>
      <w:r w:rsidRPr="00E060D4">
        <w:rPr>
          <w:rStyle w:val="Znakapoznpodarou"/>
          <w:sz w:val="16"/>
        </w:rPr>
        <w:footnoteRef/>
      </w:r>
      <w:r w:rsidRPr="00E060D4">
        <w:rPr>
          <w:sz w:val="16"/>
        </w:rPr>
        <w:t xml:space="preserve"> </w:t>
      </w:r>
      <w:r w:rsidRPr="00E060D4">
        <w:rPr>
          <w:sz w:val="16"/>
          <w:szCs w:val="18"/>
        </w:rPr>
        <w:t>Návrh tohoto Programu navazuje na aktuálně realizovaný Program bezpečnostního výzkumu ČR v letech 2015 až 2022 (Program VI)</w:t>
      </w:r>
    </w:p>
  </w:footnote>
  <w:footnote w:id="7">
    <w:p w14:paraId="539536C0" w14:textId="0AAEF718" w:rsidR="007D3CE5" w:rsidRPr="007D3CE5" w:rsidRDefault="007D3CE5" w:rsidP="007D3CE5">
      <w:pPr>
        <w:pStyle w:val="Textpoznpodarou"/>
        <w:ind w:firstLine="0"/>
        <w:rPr>
          <w:sz w:val="16"/>
          <w:szCs w:val="16"/>
        </w:rPr>
      </w:pPr>
      <w:r w:rsidRPr="007D3CE5">
        <w:rPr>
          <w:rStyle w:val="Znakapoznpodarou"/>
          <w:sz w:val="16"/>
          <w:szCs w:val="16"/>
        </w:rPr>
        <w:footnoteRef/>
      </w:r>
      <w:r w:rsidRPr="007D3CE5">
        <w:rPr>
          <w:sz w:val="16"/>
          <w:szCs w:val="16"/>
        </w:rPr>
        <w:t xml:space="preserve">  Jedná se odkaz na Inovační strategii na kapitolu zaměřenou na financování a hodnocení výzkumu a vývoje a na vytyčené cíle v tomto dokumentu</w:t>
      </w:r>
      <w:r w:rsidR="00B11A3A">
        <w:rPr>
          <w:sz w:val="16"/>
          <w:szCs w:val="16"/>
        </w:rPr>
        <w:t>.</w:t>
      </w:r>
    </w:p>
  </w:footnote>
  <w:footnote w:id="8">
    <w:p w14:paraId="2F11D3E1" w14:textId="49C82B26" w:rsidR="007D3CE5" w:rsidRDefault="007D3CE5" w:rsidP="007D3CE5">
      <w:pPr>
        <w:pStyle w:val="Textpoznpodarou"/>
        <w:ind w:firstLine="0"/>
      </w:pPr>
      <w:r w:rsidRPr="007D3CE5">
        <w:rPr>
          <w:rStyle w:val="Znakapoznpodarou"/>
          <w:sz w:val="16"/>
          <w:szCs w:val="16"/>
        </w:rPr>
        <w:footnoteRef/>
      </w:r>
      <w:r w:rsidRPr="007D3CE5">
        <w:rPr>
          <w:sz w:val="16"/>
          <w:szCs w:val="16"/>
        </w:rPr>
        <w:t xml:space="preserve"> Viz poznámka pod čarou č. 7</w:t>
      </w:r>
      <w:r w:rsidR="00B11A3A">
        <w:rPr>
          <w:sz w:val="16"/>
          <w:szCs w:val="16"/>
        </w:rPr>
        <w:t>.</w:t>
      </w:r>
    </w:p>
  </w:footnote>
  <w:footnote w:id="9">
    <w:p w14:paraId="3922FF58" w14:textId="77777777" w:rsidR="007D3CE5" w:rsidRDefault="007D3CE5" w:rsidP="00A6509B">
      <w:pPr>
        <w:pStyle w:val="Textpoznpodarou"/>
        <w:ind w:firstLine="0"/>
        <w:contextualSpacing/>
      </w:pPr>
      <w:r w:rsidRPr="00A6509B">
        <w:rPr>
          <w:rStyle w:val="Znakapoznpodarou"/>
          <w:sz w:val="20"/>
        </w:rPr>
        <w:footnoteRef/>
      </w:r>
      <w:r>
        <w:t xml:space="preserve"> </w:t>
      </w:r>
      <w:r w:rsidRPr="00112AEF">
        <w:rPr>
          <w:sz w:val="16"/>
          <w:szCs w:val="16"/>
        </w:rPr>
        <w:t>Alespoň vzdáleně relevantních pro bezpečnostní výzkum, potřeby typu zvýšení rozpočtu nebo navýšení počtů personálu nebyly zahrnuty.</w:t>
      </w:r>
      <w:r>
        <w:t xml:space="preserve"> </w:t>
      </w:r>
    </w:p>
  </w:footnote>
  <w:footnote w:id="10">
    <w:p w14:paraId="0EAAA611" w14:textId="77777777" w:rsidR="007D3CE5" w:rsidRDefault="007D3CE5" w:rsidP="00A6509B">
      <w:pPr>
        <w:pStyle w:val="Textpoznpodarou"/>
        <w:ind w:firstLine="0"/>
        <w:contextualSpacing/>
      </w:pPr>
      <w:r w:rsidRPr="00A6509B">
        <w:rPr>
          <w:rStyle w:val="Znakapoznpodarou"/>
          <w:sz w:val="20"/>
        </w:rPr>
        <w:footnoteRef/>
      </w:r>
      <w:r w:rsidRPr="00A6509B">
        <w:rPr>
          <w:sz w:val="20"/>
        </w:rPr>
        <w:t xml:space="preserve"> </w:t>
      </w:r>
      <w:r w:rsidRPr="00112AEF">
        <w:rPr>
          <w:sz w:val="16"/>
          <w:szCs w:val="16"/>
        </w:rPr>
        <w:t>Bezpečnostního výzkumu se na této úrovni navíc dotýkají i další dokumenty, jako např. strategie Průmysl 4.0, kterou materiál také zohledňuje.</w:t>
      </w:r>
      <w:r>
        <w:t xml:space="preserve"> </w:t>
      </w:r>
    </w:p>
  </w:footnote>
  <w:footnote w:id="11">
    <w:p w14:paraId="43B19E83" w14:textId="77777777" w:rsidR="007D3CE5" w:rsidRDefault="007D3CE5" w:rsidP="00712889">
      <w:pPr>
        <w:pStyle w:val="Textpoznpodarou"/>
        <w:ind w:firstLine="0"/>
        <w:contextualSpacing/>
      </w:pPr>
      <w:r w:rsidRPr="00A6509B">
        <w:rPr>
          <w:rStyle w:val="Znakapoznpodarou"/>
          <w:sz w:val="20"/>
        </w:rPr>
        <w:footnoteRef/>
      </w:r>
      <w:r>
        <w:t xml:space="preserve"> </w:t>
      </w:r>
      <w:r w:rsidRPr="00112AEF">
        <w:rPr>
          <w:sz w:val="16"/>
          <w:szCs w:val="16"/>
        </w:rPr>
        <w:t>Na věcném vymezení bezpečnostního výzkumu, včetně jeho prioritních cílů panuje široký konsensus napříč zainteresovanými stranami, neboť se valná většina součástí bezpečnostního systému podílela na práci komise, která MKBV2017+ formulovala.</w:t>
      </w:r>
      <w:r>
        <w:t xml:space="preserve"> </w:t>
      </w:r>
    </w:p>
  </w:footnote>
  <w:footnote w:id="12">
    <w:p w14:paraId="101AD43F" w14:textId="01C13AD5" w:rsidR="007D3CE5" w:rsidRDefault="007D3CE5" w:rsidP="00A6509B">
      <w:pPr>
        <w:pStyle w:val="Textpoznpodarou"/>
        <w:ind w:firstLine="0"/>
        <w:contextualSpacing/>
      </w:pPr>
      <w:r w:rsidRPr="00A6509B">
        <w:rPr>
          <w:rStyle w:val="Znakapoznpodarou"/>
          <w:sz w:val="20"/>
        </w:rPr>
        <w:footnoteRef/>
      </w:r>
      <w:r>
        <w:t xml:space="preserve"> </w:t>
      </w:r>
      <w:r w:rsidRPr="00842509">
        <w:rPr>
          <w:sz w:val="16"/>
          <w:szCs w:val="16"/>
        </w:rPr>
        <w:t>Prioritní cíl 2 „Adaptabilní bezpečnostní systém“ nezahrnuje prior</w:t>
      </w:r>
      <w:r>
        <w:rPr>
          <w:sz w:val="16"/>
          <w:szCs w:val="16"/>
        </w:rPr>
        <w:t>ity vhodné k realizaci v tomto P</w:t>
      </w:r>
      <w:r w:rsidRPr="00842509">
        <w:rPr>
          <w:sz w:val="16"/>
          <w:szCs w:val="16"/>
        </w:rPr>
        <w:t>rogram.</w:t>
      </w:r>
    </w:p>
  </w:footnote>
  <w:footnote w:id="13">
    <w:p w14:paraId="3191DD40" w14:textId="386B0E88" w:rsidR="007D3CE5" w:rsidRPr="007D3CE5" w:rsidRDefault="007D3CE5" w:rsidP="007D3CE5">
      <w:pPr>
        <w:pStyle w:val="Textpoznpodarou"/>
        <w:ind w:firstLine="0"/>
        <w:rPr>
          <w:sz w:val="16"/>
          <w:szCs w:val="16"/>
        </w:rPr>
      </w:pPr>
      <w:r w:rsidRPr="007D3CE5">
        <w:rPr>
          <w:rStyle w:val="Znakapoznpodarou"/>
          <w:sz w:val="16"/>
          <w:szCs w:val="16"/>
        </w:rPr>
        <w:footnoteRef/>
      </w:r>
      <w:r w:rsidRPr="007D3CE5">
        <w:rPr>
          <w:sz w:val="16"/>
          <w:szCs w:val="16"/>
        </w:rPr>
        <w:t xml:space="preserve"> Vzhledem k tomu, že primárním cílem Programu není podpora juniorních výzkumníků ani podpora zapojení žen do výzkumu, bude toto bodovací kritérium navázáno na stávající bodovací kritéria, které MV uplatňuje, případně ohodnoceno formou bonifikace, přičemž toto bude upraveno v zadávacích dokumentacích pro jednotlivé veřejné soutěže. Kromě toho je nutné upozornit, že bezpečnostní výzkum jako takový je specifickou a svébytnou agendou, kde jsou tato kritéria jen velmi obtížně splnitelná.</w:t>
      </w:r>
    </w:p>
  </w:footnote>
  <w:footnote w:id="14">
    <w:p w14:paraId="7417C8A1" w14:textId="09B36BFC" w:rsidR="007D3CE5" w:rsidRPr="000C1602" w:rsidRDefault="007D3CE5" w:rsidP="000C1602">
      <w:pPr>
        <w:pStyle w:val="Textpoznpodarou"/>
        <w:ind w:firstLine="0"/>
        <w:rPr>
          <w:sz w:val="16"/>
          <w:szCs w:val="16"/>
        </w:rPr>
      </w:pPr>
      <w:r w:rsidRPr="000C1602">
        <w:rPr>
          <w:rStyle w:val="Znakapoznpodarou"/>
          <w:sz w:val="16"/>
          <w:szCs w:val="16"/>
        </w:rPr>
        <w:footnoteRef/>
      </w:r>
      <w:r w:rsidRPr="000C1602">
        <w:rPr>
          <w:sz w:val="16"/>
          <w:szCs w:val="16"/>
        </w:rPr>
        <w:t xml:space="preserve"> V souladu s </w:t>
      </w:r>
      <w:r w:rsidRPr="000C1602">
        <w:rPr>
          <w:rFonts w:cstheme="minorHAnsi"/>
          <w:sz w:val="16"/>
          <w:szCs w:val="16"/>
        </w:rPr>
        <w:t>§</w:t>
      </w:r>
      <w:r w:rsidRPr="000C1602">
        <w:rPr>
          <w:sz w:val="16"/>
          <w:szCs w:val="16"/>
        </w:rPr>
        <w:t xml:space="preserve"> 13 a </w:t>
      </w:r>
      <w:r w:rsidRPr="000C1602">
        <w:rPr>
          <w:rFonts w:cstheme="minorHAnsi"/>
          <w:sz w:val="16"/>
          <w:szCs w:val="16"/>
        </w:rPr>
        <w:t>§</w:t>
      </w:r>
      <w:r w:rsidRPr="000C1602">
        <w:rPr>
          <w:sz w:val="16"/>
          <w:szCs w:val="16"/>
        </w:rPr>
        <w:t xml:space="preserve"> 21 zákona</w:t>
      </w:r>
    </w:p>
  </w:footnote>
  <w:footnote w:id="15">
    <w:p w14:paraId="3D286A6E" w14:textId="77777777" w:rsidR="007D3CE5" w:rsidRDefault="007D3CE5" w:rsidP="004E6DBE">
      <w:pPr>
        <w:pStyle w:val="Textpoznpodarou"/>
        <w:ind w:firstLine="0"/>
        <w:contextualSpacing/>
      </w:pPr>
      <w:r w:rsidRPr="004E6DBE">
        <w:rPr>
          <w:rStyle w:val="Znakapoznpodarou"/>
          <w:sz w:val="20"/>
        </w:rPr>
        <w:footnoteRef/>
      </w:r>
      <w:r>
        <w:t xml:space="preserve"> </w:t>
      </w:r>
      <w:r w:rsidRPr="00112AEF">
        <w:rPr>
          <w:sz w:val="16"/>
          <w:szCs w:val="16"/>
        </w:rPr>
        <w:t>Podle UV č. 351/2015.</w:t>
      </w:r>
    </w:p>
  </w:footnote>
  <w:footnote w:id="16">
    <w:p w14:paraId="5287DA32" w14:textId="77777777" w:rsidR="007D3CE5" w:rsidRPr="00112AEF" w:rsidRDefault="007D3CE5" w:rsidP="004E6DBE">
      <w:pPr>
        <w:pStyle w:val="Textpoznpodarou"/>
        <w:ind w:firstLine="0"/>
        <w:contextualSpacing/>
        <w:rPr>
          <w:sz w:val="16"/>
          <w:szCs w:val="16"/>
        </w:rPr>
      </w:pPr>
      <w:r w:rsidRPr="004E6DBE">
        <w:rPr>
          <w:rStyle w:val="Znakapoznpodarou"/>
          <w:sz w:val="20"/>
        </w:rPr>
        <w:footnoteRef/>
      </w:r>
      <w:r>
        <w:t xml:space="preserve"> </w:t>
      </w:r>
      <w:r w:rsidRPr="00112AEF">
        <w:rPr>
          <w:sz w:val="16"/>
          <w:szCs w:val="16"/>
        </w:rPr>
        <w:t xml:space="preserve">Podle UV č. </w:t>
      </w:r>
      <w:r>
        <w:rPr>
          <w:sz w:val="16"/>
          <w:szCs w:val="16"/>
        </w:rPr>
        <w:t xml:space="preserve">569/2013 </w:t>
      </w:r>
      <w:r w:rsidRPr="00112AEF">
        <w:rPr>
          <w:sz w:val="16"/>
          <w:szCs w:val="16"/>
        </w:rPr>
        <w:t xml:space="preserve"> k Implementaci Národních priorit orientovaného výzkumu, vývoje a inovací </w:t>
      </w:r>
    </w:p>
  </w:footnote>
  <w:footnote w:id="17">
    <w:p w14:paraId="40CAA102" w14:textId="77777777" w:rsidR="007D3CE5" w:rsidRDefault="007D3CE5" w:rsidP="004E6DBE">
      <w:pPr>
        <w:pStyle w:val="Textpoznpodarou"/>
        <w:ind w:firstLine="0"/>
        <w:contextualSpacing/>
      </w:pPr>
      <w:r w:rsidRPr="004E6DBE">
        <w:rPr>
          <w:rStyle w:val="Znakapoznpodarou"/>
          <w:sz w:val="20"/>
        </w:rPr>
        <w:footnoteRef/>
      </w:r>
      <w:r w:rsidRPr="004E6DBE">
        <w:rPr>
          <w:sz w:val="20"/>
        </w:rPr>
        <w:t xml:space="preserve"> </w:t>
      </w:r>
      <w:r w:rsidRPr="00112AEF">
        <w:rPr>
          <w:sz w:val="16"/>
          <w:szCs w:val="16"/>
        </w:rPr>
        <w:t>Podle UV č. 351/2015.</w:t>
      </w:r>
    </w:p>
  </w:footnote>
  <w:footnote w:id="18">
    <w:p w14:paraId="388F9255" w14:textId="77777777" w:rsidR="007D3CE5" w:rsidRDefault="007D3CE5" w:rsidP="004E6DBE">
      <w:pPr>
        <w:pStyle w:val="Textpoznpodarou"/>
        <w:ind w:firstLine="0"/>
        <w:contextualSpacing/>
      </w:pPr>
      <w:r w:rsidRPr="004E6DBE">
        <w:rPr>
          <w:rStyle w:val="Znakapoznpodarou"/>
          <w:sz w:val="20"/>
        </w:rPr>
        <w:footnoteRef/>
      </w:r>
      <w:r>
        <w:t xml:space="preserve"> </w:t>
      </w:r>
      <w:r w:rsidRPr="00112AEF">
        <w:rPr>
          <w:sz w:val="16"/>
          <w:szCs w:val="16"/>
        </w:rPr>
        <w:t>Podle UV č. 351/2015.</w:t>
      </w:r>
    </w:p>
  </w:footnote>
  <w:footnote w:id="19">
    <w:p w14:paraId="7BFF24CC" w14:textId="0CF1BD09" w:rsidR="007D3CE5" w:rsidRPr="004B6BFD" w:rsidRDefault="007D3CE5" w:rsidP="004B6BFD">
      <w:pPr>
        <w:pStyle w:val="Textpoznpodarou"/>
        <w:ind w:firstLine="0"/>
        <w:contextualSpacing/>
        <w:rPr>
          <w:rStyle w:val="Znakapoznpodarou"/>
          <w:sz w:val="20"/>
        </w:rPr>
      </w:pPr>
      <w:r w:rsidRPr="004B6BFD">
        <w:rPr>
          <w:rStyle w:val="Znakapoznpodarou"/>
          <w:sz w:val="20"/>
        </w:rPr>
        <w:footnoteRef/>
      </w:r>
      <w:r w:rsidRPr="004B6BFD">
        <w:rPr>
          <w:rStyle w:val="Znakapoznpodarou"/>
          <w:sz w:val="20"/>
        </w:rPr>
        <w:t xml:space="preserve"> </w:t>
      </w:r>
      <w:r w:rsidRPr="004B6BFD">
        <w:rPr>
          <w:sz w:val="16"/>
          <w:szCs w:val="16"/>
        </w:rPr>
        <w:t>Nutno měřit ve vztahu k úkolu KEB2021+</w:t>
      </w:r>
    </w:p>
  </w:footnote>
  <w:footnote w:id="20">
    <w:p w14:paraId="76EDA117" w14:textId="16C09D22" w:rsidR="007D3CE5" w:rsidRDefault="007D3CE5" w:rsidP="004E6DBE">
      <w:pPr>
        <w:pStyle w:val="Textpoznpodarou"/>
        <w:ind w:firstLine="0"/>
        <w:contextualSpacing/>
      </w:pPr>
      <w:r w:rsidRPr="004E6DBE">
        <w:rPr>
          <w:rStyle w:val="Znakapoznpodarou"/>
          <w:sz w:val="20"/>
        </w:rPr>
        <w:footnoteRef/>
      </w:r>
      <w:r w:rsidRPr="004E6DBE">
        <w:rPr>
          <w:sz w:val="20"/>
        </w:rPr>
        <w:t xml:space="preserve"> </w:t>
      </w:r>
      <w:r w:rsidRPr="00112AEF">
        <w:rPr>
          <w:sz w:val="16"/>
          <w:szCs w:val="16"/>
        </w:rPr>
        <w:t>Nutno hodnotit v návaznosti na jednání k rozpočtu 20</w:t>
      </w:r>
      <w:r>
        <w:rPr>
          <w:sz w:val="16"/>
          <w:szCs w:val="16"/>
        </w:rPr>
        <w:t>22</w:t>
      </w:r>
      <w:r w:rsidRPr="00112AEF">
        <w:rPr>
          <w:sz w:val="16"/>
          <w:szCs w:val="16"/>
        </w:rPr>
        <w:t>+.</w:t>
      </w:r>
    </w:p>
  </w:footnote>
  <w:footnote w:id="21">
    <w:p w14:paraId="1549E3DF" w14:textId="3E0871F3" w:rsidR="007D3CE5" w:rsidRDefault="007D3CE5" w:rsidP="004E6DBE">
      <w:pPr>
        <w:pStyle w:val="Textpoznpodarou"/>
        <w:ind w:firstLine="0"/>
        <w:contextualSpacing/>
      </w:pPr>
      <w:r w:rsidRPr="004E6DBE">
        <w:rPr>
          <w:rStyle w:val="Znakapoznpodarou"/>
          <w:sz w:val="20"/>
        </w:rPr>
        <w:footnoteRef/>
      </w:r>
      <w:r>
        <w:t xml:space="preserve"> </w:t>
      </w:r>
      <w:r w:rsidRPr="00112AEF">
        <w:rPr>
          <w:sz w:val="16"/>
          <w:szCs w:val="16"/>
        </w:rPr>
        <w:t>Nutno hodnotit v návaznosti na jednání k rozpočtu 20</w:t>
      </w:r>
      <w:r>
        <w:rPr>
          <w:sz w:val="16"/>
          <w:szCs w:val="16"/>
        </w:rPr>
        <w:t>22</w:t>
      </w:r>
      <w:r w:rsidRPr="00112AEF">
        <w:rPr>
          <w:sz w:val="16"/>
          <w:szCs w:val="16"/>
        </w:rPr>
        <w:t>+.</w:t>
      </w:r>
    </w:p>
  </w:footnote>
  <w:footnote w:id="22">
    <w:p w14:paraId="4EB7A6DF" w14:textId="07C1C1C0" w:rsidR="007D3CE5" w:rsidRDefault="007D3CE5" w:rsidP="004E6DBE">
      <w:pPr>
        <w:pStyle w:val="Textpoznpodarou"/>
        <w:ind w:firstLine="0"/>
        <w:contextualSpacing/>
      </w:pPr>
      <w:r w:rsidRPr="004E6DBE">
        <w:rPr>
          <w:rStyle w:val="Znakapoznpodarou"/>
          <w:sz w:val="20"/>
        </w:rPr>
        <w:footnoteRef/>
      </w:r>
      <w:r w:rsidRPr="004E6DBE">
        <w:rPr>
          <w:sz w:val="20"/>
        </w:rPr>
        <w:t xml:space="preserve"> </w:t>
      </w:r>
      <w:r w:rsidRPr="00112AEF">
        <w:rPr>
          <w:sz w:val="16"/>
          <w:szCs w:val="16"/>
        </w:rPr>
        <w:t>Nutno hodnotit v návaznosti na jednání k rozpočtu 20</w:t>
      </w:r>
      <w:r>
        <w:rPr>
          <w:sz w:val="16"/>
          <w:szCs w:val="16"/>
        </w:rPr>
        <w:t>22</w:t>
      </w:r>
      <w:r w:rsidRPr="00112AEF">
        <w:rPr>
          <w:sz w:val="16"/>
          <w:szCs w:val="16"/>
        </w:rPr>
        <w:t>+</w:t>
      </w:r>
    </w:p>
  </w:footnote>
  <w:footnote w:id="23">
    <w:p w14:paraId="4A15592B" w14:textId="0F1F4957" w:rsidR="007D3CE5" w:rsidRDefault="007D3CE5" w:rsidP="000C1602">
      <w:pPr>
        <w:pStyle w:val="Textpoznpodarou"/>
        <w:ind w:firstLine="0"/>
      </w:pPr>
      <w:r>
        <w:rPr>
          <w:rStyle w:val="Znakapoznpodarou"/>
        </w:rPr>
        <w:footnoteRef/>
      </w:r>
      <w:r>
        <w:t xml:space="preserve"> </w:t>
      </w:r>
      <w:r>
        <w:rPr>
          <w:sz w:val="16"/>
          <w:szCs w:val="16"/>
        </w:rPr>
        <w:t>Hodnocení programu (včetně parametrů programu jako je charakter a využití výsledků programu, splnění cílů programu, plnění NPOV, oborové zaměření, čerpání finančních prostředků aj.) bude provedeno v souladu s UV č. 351/2015 a v souladu s UV č. 107/2017</w:t>
      </w:r>
    </w:p>
  </w:footnote>
  <w:footnote w:id="24">
    <w:p w14:paraId="16692BA8" w14:textId="77777777" w:rsidR="007D3CE5" w:rsidRDefault="007D3CE5" w:rsidP="004E6DBE">
      <w:pPr>
        <w:pStyle w:val="Textpoznpodarou"/>
        <w:ind w:firstLine="0"/>
        <w:contextualSpacing/>
      </w:pPr>
      <w:r w:rsidRPr="004E6DBE">
        <w:rPr>
          <w:rStyle w:val="Znakapoznpodarou"/>
          <w:sz w:val="20"/>
        </w:rPr>
        <w:footnoteRef/>
      </w:r>
      <w:r>
        <w:t xml:space="preserve"> </w:t>
      </w:r>
      <w:r w:rsidRPr="00112AEF">
        <w:rPr>
          <w:sz w:val="16"/>
          <w:szCs w:val="16"/>
        </w:rPr>
        <w:t>Dosavadní vývoj v přípravě tzv. Metodiky hodnocení programů a platná usnesení vlády k této problematice předpokládají realizaci těchto hodnocení externě.</w:t>
      </w:r>
      <w:r>
        <w:t xml:space="preserve"> </w:t>
      </w:r>
    </w:p>
  </w:footnote>
  <w:footnote w:id="25">
    <w:p w14:paraId="5BBC7E28" w14:textId="77777777" w:rsidR="007D3CE5" w:rsidRPr="00640B8F" w:rsidRDefault="007D3CE5" w:rsidP="00640B8F">
      <w:pPr>
        <w:pStyle w:val="Bezmezer"/>
        <w:rPr>
          <w:sz w:val="16"/>
          <w:szCs w:val="16"/>
        </w:rPr>
      </w:pPr>
      <w:r w:rsidRPr="00640B8F">
        <w:rPr>
          <w:rStyle w:val="Znakapoznpodarou"/>
          <w:sz w:val="16"/>
          <w:szCs w:val="16"/>
        </w:rPr>
        <w:footnoteRef/>
      </w:r>
      <w:r w:rsidRPr="00640B8F">
        <w:rPr>
          <w:sz w:val="16"/>
          <w:szCs w:val="16"/>
        </w:rPr>
        <w:t xml:space="preserve"> Odstupňování hodnocení výsledků programových projektů přímo vychází z konceptu Metodiky hodnocení výsledků výzkumných organizací 2017+</w:t>
      </w:r>
    </w:p>
  </w:footnote>
  <w:footnote w:id="26">
    <w:p w14:paraId="6940B239" w14:textId="50B12934" w:rsidR="007D3CE5" w:rsidRPr="00640B8F" w:rsidRDefault="007D3CE5" w:rsidP="00640B8F">
      <w:pPr>
        <w:pStyle w:val="Bezmezer"/>
        <w:rPr>
          <w:sz w:val="16"/>
          <w:szCs w:val="16"/>
        </w:rPr>
      </w:pPr>
      <w:r w:rsidRPr="00640B8F">
        <w:rPr>
          <w:rStyle w:val="Znakapoznpodarou"/>
          <w:sz w:val="16"/>
          <w:szCs w:val="16"/>
        </w:rPr>
        <w:footnoteRef/>
      </w:r>
      <w:r w:rsidRPr="00640B8F">
        <w:rPr>
          <w:sz w:val="16"/>
          <w:szCs w:val="16"/>
        </w:rPr>
        <w:t xml:space="preserve"> Navazující financování se za duplicitu nepovažuje, nao</w:t>
      </w:r>
      <w:r>
        <w:rPr>
          <w:sz w:val="16"/>
          <w:szCs w:val="16"/>
        </w:rPr>
        <w:t>pak, jedním ze znaků relevance P</w:t>
      </w:r>
      <w:r w:rsidRPr="00640B8F">
        <w:rPr>
          <w:sz w:val="16"/>
          <w:szCs w:val="16"/>
        </w:rPr>
        <w:t>rogramu by měl být přechod některých výsledků jiných</w:t>
      </w:r>
      <w:r>
        <w:rPr>
          <w:sz w:val="16"/>
          <w:szCs w:val="16"/>
        </w:rPr>
        <w:t xml:space="preserve"> finančních nástrojů do tohoto P</w:t>
      </w:r>
      <w:r w:rsidRPr="00640B8F">
        <w:rPr>
          <w:sz w:val="16"/>
          <w:szCs w:val="16"/>
        </w:rPr>
        <w:t>rogramu</w:t>
      </w:r>
    </w:p>
  </w:footnote>
  <w:footnote w:id="27">
    <w:p w14:paraId="5F22B5DD" w14:textId="01E68E13" w:rsidR="007D3CE5" w:rsidRPr="00640B8F" w:rsidRDefault="007D3CE5" w:rsidP="00640B8F">
      <w:pPr>
        <w:pStyle w:val="Bezmezer"/>
        <w:rPr>
          <w:sz w:val="16"/>
          <w:szCs w:val="16"/>
        </w:rPr>
      </w:pPr>
      <w:r w:rsidRPr="00640B8F">
        <w:rPr>
          <w:rStyle w:val="Znakapoznpodarou"/>
          <w:sz w:val="16"/>
          <w:szCs w:val="16"/>
        </w:rPr>
        <w:footnoteRef/>
      </w:r>
      <w:r w:rsidRPr="00640B8F">
        <w:rPr>
          <w:sz w:val="16"/>
          <w:szCs w:val="16"/>
        </w:rPr>
        <w:t xml:space="preserve">  Program primárně necílí na zapojení juniorních výzkumníků ani na genderovou otázku, </w:t>
      </w:r>
      <w:r>
        <w:rPr>
          <w:sz w:val="16"/>
          <w:szCs w:val="16"/>
        </w:rPr>
        <w:t>veličina je sledována v návaznosti na aktuální trendy v této oblasti</w:t>
      </w:r>
    </w:p>
  </w:footnote>
  <w:footnote w:id="28">
    <w:p w14:paraId="720231E9" w14:textId="77777777" w:rsidR="007D3CE5" w:rsidRPr="00286D6F" w:rsidRDefault="007D3CE5" w:rsidP="00640B8F">
      <w:pPr>
        <w:pStyle w:val="Bezmezer"/>
      </w:pPr>
      <w:r w:rsidRPr="00640B8F">
        <w:rPr>
          <w:rStyle w:val="Znakapoznpodarou"/>
          <w:sz w:val="16"/>
          <w:szCs w:val="16"/>
        </w:rPr>
        <w:footnoteRef/>
      </w:r>
      <w:r w:rsidRPr="00640B8F">
        <w:rPr>
          <w:sz w:val="16"/>
          <w:szCs w:val="16"/>
        </w:rPr>
        <w:t xml:space="preserve"> European Commission DG Research and Innovation (2015) She Figures 2015: Gender in Research and Innovation – Statistics and Indicators. Brussels: EU Publication Office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1956" w14:textId="13534C4F" w:rsidR="007D3CE5" w:rsidRDefault="007D3CE5" w:rsidP="007D3CE5">
    <w:pPr>
      <w:pStyle w:val="Zhlav"/>
      <w:jc w:val="left"/>
    </w:pPr>
    <w:r w:rsidRPr="007D3CE5">
      <w:rPr>
        <w:sz w:val="16"/>
      </w:rPr>
      <w:t>Program OPSEC_20211103_ver 0.3.</w:t>
    </w:r>
    <w:r>
      <w:ptab w:relativeTo="margin" w:alignment="center" w:leader="none"/>
    </w:r>
    <w:r>
      <w:ptab w:relativeTo="margin" w:alignment="right" w:leader="none"/>
    </w:r>
    <w:r>
      <w:t>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6C06"/>
    <w:multiLevelType w:val="hybridMultilevel"/>
    <w:tmpl w:val="056A1406"/>
    <w:lvl w:ilvl="0" w:tplc="FAAADC7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D0505C"/>
    <w:multiLevelType w:val="hybridMultilevel"/>
    <w:tmpl w:val="5AD2C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C1B82"/>
    <w:multiLevelType w:val="multilevel"/>
    <w:tmpl w:val="43E287F2"/>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F24E23"/>
    <w:multiLevelType w:val="multilevel"/>
    <w:tmpl w:val="43E287F2"/>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9B8154D"/>
    <w:multiLevelType w:val="hybridMultilevel"/>
    <w:tmpl w:val="DD769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BC2BA7"/>
    <w:multiLevelType w:val="hybridMultilevel"/>
    <w:tmpl w:val="BD82B41E"/>
    <w:lvl w:ilvl="0" w:tplc="44EC79A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011C6D"/>
    <w:multiLevelType w:val="hybridMultilevel"/>
    <w:tmpl w:val="6DE08224"/>
    <w:lvl w:ilvl="0" w:tplc="FAAADC74">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1F19AD"/>
    <w:multiLevelType w:val="multilevel"/>
    <w:tmpl w:val="43E287F2"/>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AEC0986"/>
    <w:multiLevelType w:val="hybridMultilevel"/>
    <w:tmpl w:val="1F240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D861E1"/>
    <w:multiLevelType w:val="hybridMultilevel"/>
    <w:tmpl w:val="6360C3D6"/>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53F1677"/>
    <w:multiLevelType w:val="hybridMultilevel"/>
    <w:tmpl w:val="CAA01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253A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D293EF8"/>
    <w:multiLevelType w:val="hybridMultilevel"/>
    <w:tmpl w:val="01ECF8BE"/>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15:restartNumberingAfterBreak="0">
    <w:nsid w:val="2EEC587D"/>
    <w:multiLevelType w:val="hybridMultilevel"/>
    <w:tmpl w:val="D2F46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1C662D"/>
    <w:multiLevelType w:val="hybridMultilevel"/>
    <w:tmpl w:val="4656E72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6C33AE"/>
    <w:multiLevelType w:val="hybridMultilevel"/>
    <w:tmpl w:val="407EA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52718D"/>
    <w:multiLevelType w:val="hybridMultilevel"/>
    <w:tmpl w:val="F180454E"/>
    <w:lvl w:ilvl="0" w:tplc="C0DEA64A">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6E6B27"/>
    <w:multiLevelType w:val="hybridMultilevel"/>
    <w:tmpl w:val="B6D46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1F4DBB"/>
    <w:multiLevelType w:val="multilevel"/>
    <w:tmpl w:val="A2D2CE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46148D"/>
    <w:multiLevelType w:val="hybridMultilevel"/>
    <w:tmpl w:val="2580EFF4"/>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0" w15:restartNumberingAfterBreak="0">
    <w:nsid w:val="3F4E41ED"/>
    <w:multiLevelType w:val="hybridMultilevel"/>
    <w:tmpl w:val="A036BD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FCB0ED0"/>
    <w:multiLevelType w:val="hybridMultilevel"/>
    <w:tmpl w:val="C568B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14E0380"/>
    <w:multiLevelType w:val="multilevel"/>
    <w:tmpl w:val="43E287F2"/>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3104B25"/>
    <w:multiLevelType w:val="hybridMultilevel"/>
    <w:tmpl w:val="04DCC816"/>
    <w:lvl w:ilvl="0" w:tplc="4B0EE5AE">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6A45FA"/>
    <w:multiLevelType w:val="hybridMultilevel"/>
    <w:tmpl w:val="8E387AAA"/>
    <w:lvl w:ilvl="0" w:tplc="E0F6CCB6">
      <w:start w:val="1"/>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375AF2"/>
    <w:multiLevelType w:val="hybridMultilevel"/>
    <w:tmpl w:val="8BAC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9D54EC"/>
    <w:multiLevelType w:val="multilevel"/>
    <w:tmpl w:val="43E287F2"/>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9015757"/>
    <w:multiLevelType w:val="hybridMultilevel"/>
    <w:tmpl w:val="C08674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945429"/>
    <w:multiLevelType w:val="hybridMultilevel"/>
    <w:tmpl w:val="F89AF4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285467"/>
    <w:multiLevelType w:val="hybridMultilevel"/>
    <w:tmpl w:val="94D67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72593D"/>
    <w:multiLevelType w:val="hybridMultilevel"/>
    <w:tmpl w:val="AA389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7143C03"/>
    <w:multiLevelType w:val="hybridMultilevel"/>
    <w:tmpl w:val="20E43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DF1038"/>
    <w:multiLevelType w:val="multilevel"/>
    <w:tmpl w:val="DCDC6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F07AB8"/>
    <w:multiLevelType w:val="hybridMultilevel"/>
    <w:tmpl w:val="58E23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EC014EF"/>
    <w:multiLevelType w:val="multilevel"/>
    <w:tmpl w:val="97A06E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507775"/>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855"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6" w15:restartNumberingAfterBreak="0">
    <w:nsid w:val="7A346CA5"/>
    <w:multiLevelType w:val="hybridMultilevel"/>
    <w:tmpl w:val="6A70E8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8D5960"/>
    <w:multiLevelType w:val="hybridMultilevel"/>
    <w:tmpl w:val="2056C56C"/>
    <w:lvl w:ilvl="0" w:tplc="FAAADC74">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B14221"/>
    <w:multiLevelType w:val="hybridMultilevel"/>
    <w:tmpl w:val="C62E46FC"/>
    <w:lvl w:ilvl="0" w:tplc="16644524">
      <w:start w:val="1"/>
      <w:numFmt w:val="decimal"/>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A5D801B2">
      <w:start w:val="1"/>
      <w:numFmt w:val="lowerLetter"/>
      <w:lvlText w:val="%8)"/>
      <w:lvlJc w:val="left"/>
      <w:pPr>
        <w:tabs>
          <w:tab w:val="num" w:pos="6525"/>
        </w:tabs>
        <w:ind w:left="6525" w:hanging="1125"/>
      </w:pPr>
      <w:rPr>
        <w:rFonts w:hint="default"/>
        <w:color w:val="auto"/>
      </w:rPr>
    </w:lvl>
    <w:lvl w:ilvl="8" w:tplc="0405001B" w:tentative="1">
      <w:start w:val="1"/>
      <w:numFmt w:val="lowerRoman"/>
      <w:lvlText w:val="%9."/>
      <w:lvlJc w:val="right"/>
      <w:pPr>
        <w:tabs>
          <w:tab w:val="num" w:pos="6480"/>
        </w:tabs>
        <w:ind w:left="6480" w:hanging="180"/>
      </w:pPr>
    </w:lvl>
  </w:abstractNum>
  <w:num w:numId="1">
    <w:abstractNumId w:val="5"/>
  </w:num>
  <w:num w:numId="2">
    <w:abstractNumId w:val="38"/>
  </w:num>
  <w:num w:numId="3">
    <w:abstractNumId w:val="11"/>
  </w:num>
  <w:num w:numId="4">
    <w:abstractNumId w:val="17"/>
  </w:num>
  <w:num w:numId="5">
    <w:abstractNumId w:val="28"/>
  </w:num>
  <w:num w:numId="6">
    <w:abstractNumId w:val="19"/>
  </w:num>
  <w:num w:numId="7">
    <w:abstractNumId w:val="25"/>
  </w:num>
  <w:num w:numId="8">
    <w:abstractNumId w:val="30"/>
  </w:num>
  <w:num w:numId="9">
    <w:abstractNumId w:val="15"/>
  </w:num>
  <w:num w:numId="10">
    <w:abstractNumId w:val="1"/>
  </w:num>
  <w:num w:numId="11">
    <w:abstractNumId w:val="13"/>
  </w:num>
  <w:num w:numId="12">
    <w:abstractNumId w:val="8"/>
  </w:num>
  <w:num w:numId="13">
    <w:abstractNumId w:val="12"/>
  </w:num>
  <w:num w:numId="14">
    <w:abstractNumId w:val="31"/>
  </w:num>
  <w:num w:numId="15">
    <w:abstractNumId w:val="21"/>
  </w:num>
  <w:num w:numId="16">
    <w:abstractNumId w:val="23"/>
  </w:num>
  <w:num w:numId="17">
    <w:abstractNumId w:val="20"/>
  </w:num>
  <w:num w:numId="18">
    <w:abstractNumId w:val="14"/>
  </w:num>
  <w:num w:numId="19">
    <w:abstractNumId w:val="5"/>
  </w:num>
  <w:num w:numId="20">
    <w:abstractNumId w:val="36"/>
  </w:num>
  <w:num w:numId="21">
    <w:abstractNumId w:val="35"/>
  </w:num>
  <w:num w:numId="22">
    <w:abstractNumId w:val="35"/>
  </w:num>
  <w:num w:numId="23">
    <w:abstractNumId w:val="32"/>
  </w:num>
  <w:num w:numId="24">
    <w:abstractNumId w:val="34"/>
  </w:num>
  <w:num w:numId="25">
    <w:abstractNumId w:val="18"/>
  </w:num>
  <w:num w:numId="26">
    <w:abstractNumId w:val="35"/>
  </w:num>
  <w:num w:numId="27">
    <w:abstractNumId w:val="35"/>
  </w:num>
  <w:num w:numId="28">
    <w:abstractNumId w:val="35"/>
  </w:num>
  <w:num w:numId="29">
    <w:abstractNumId w:val="27"/>
  </w:num>
  <w:num w:numId="30">
    <w:abstractNumId w:val="35"/>
  </w:num>
  <w:num w:numId="31">
    <w:abstractNumId w:val="35"/>
  </w:num>
  <w:num w:numId="32">
    <w:abstractNumId w:val="16"/>
  </w:num>
  <w:num w:numId="33">
    <w:abstractNumId w:val="24"/>
  </w:num>
  <w:num w:numId="34">
    <w:abstractNumId w:val="4"/>
  </w:num>
  <w:num w:numId="35">
    <w:abstractNumId w:val="0"/>
  </w:num>
  <w:num w:numId="36">
    <w:abstractNumId w:val="37"/>
  </w:num>
  <w:num w:numId="37">
    <w:abstractNumId w:val="6"/>
  </w:num>
  <w:num w:numId="38">
    <w:abstractNumId w:val="26"/>
  </w:num>
  <w:num w:numId="39">
    <w:abstractNumId w:val="7"/>
  </w:num>
  <w:num w:numId="40">
    <w:abstractNumId w:val="3"/>
  </w:num>
  <w:num w:numId="41">
    <w:abstractNumId w:val="22"/>
  </w:num>
  <w:num w:numId="42">
    <w:abstractNumId w:val="2"/>
  </w:num>
  <w:num w:numId="43">
    <w:abstractNumId w:val="33"/>
  </w:num>
  <w:num w:numId="44">
    <w:abstractNumId w:val="29"/>
  </w:num>
  <w:num w:numId="45">
    <w:abstractNumId w:val="10"/>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c0NLSwMDczMzEzMzJR0lEKTi0uzszPAykwrAUAKxVYdiwAAAA="/>
  </w:docVars>
  <w:rsids>
    <w:rsidRoot w:val="00764901"/>
    <w:rsid w:val="0000162B"/>
    <w:rsid w:val="000017AD"/>
    <w:rsid w:val="00015994"/>
    <w:rsid w:val="00016921"/>
    <w:rsid w:val="00017873"/>
    <w:rsid w:val="00021999"/>
    <w:rsid w:val="000278AF"/>
    <w:rsid w:val="00042E82"/>
    <w:rsid w:val="00045D62"/>
    <w:rsid w:val="00053291"/>
    <w:rsid w:val="00055146"/>
    <w:rsid w:val="00060FC8"/>
    <w:rsid w:val="000619B2"/>
    <w:rsid w:val="000624C2"/>
    <w:rsid w:val="0006402F"/>
    <w:rsid w:val="00064954"/>
    <w:rsid w:val="00065DA7"/>
    <w:rsid w:val="0007118E"/>
    <w:rsid w:val="000747B6"/>
    <w:rsid w:val="000845FD"/>
    <w:rsid w:val="0008692B"/>
    <w:rsid w:val="00092435"/>
    <w:rsid w:val="00093378"/>
    <w:rsid w:val="000933EC"/>
    <w:rsid w:val="00093D5B"/>
    <w:rsid w:val="00095D85"/>
    <w:rsid w:val="000979E7"/>
    <w:rsid w:val="000A0B35"/>
    <w:rsid w:val="000A1E59"/>
    <w:rsid w:val="000A6098"/>
    <w:rsid w:val="000A6C00"/>
    <w:rsid w:val="000B0456"/>
    <w:rsid w:val="000B04EF"/>
    <w:rsid w:val="000B5248"/>
    <w:rsid w:val="000B7857"/>
    <w:rsid w:val="000C1602"/>
    <w:rsid w:val="000E3FD3"/>
    <w:rsid w:val="000F4605"/>
    <w:rsid w:val="00101AEC"/>
    <w:rsid w:val="00107D04"/>
    <w:rsid w:val="00110D3A"/>
    <w:rsid w:val="00112AEF"/>
    <w:rsid w:val="00117C28"/>
    <w:rsid w:val="00120ADE"/>
    <w:rsid w:val="00135964"/>
    <w:rsid w:val="001472C0"/>
    <w:rsid w:val="00152016"/>
    <w:rsid w:val="00153045"/>
    <w:rsid w:val="00154DED"/>
    <w:rsid w:val="0015513D"/>
    <w:rsid w:val="00157362"/>
    <w:rsid w:val="00162414"/>
    <w:rsid w:val="00163ACD"/>
    <w:rsid w:val="00166F43"/>
    <w:rsid w:val="001671D2"/>
    <w:rsid w:val="00177C69"/>
    <w:rsid w:val="0018303B"/>
    <w:rsid w:val="001832DC"/>
    <w:rsid w:val="001839FD"/>
    <w:rsid w:val="001A1B69"/>
    <w:rsid w:val="001A205F"/>
    <w:rsid w:val="001A2B18"/>
    <w:rsid w:val="001A44C5"/>
    <w:rsid w:val="001A7995"/>
    <w:rsid w:val="001B141A"/>
    <w:rsid w:val="001C72C8"/>
    <w:rsid w:val="001D402A"/>
    <w:rsid w:val="001E3C6D"/>
    <w:rsid w:val="001E4750"/>
    <w:rsid w:val="001F13CE"/>
    <w:rsid w:val="001F1C8F"/>
    <w:rsid w:val="001F4C1E"/>
    <w:rsid w:val="001F5AB5"/>
    <w:rsid w:val="001F70DD"/>
    <w:rsid w:val="001F7B11"/>
    <w:rsid w:val="00200C41"/>
    <w:rsid w:val="00203632"/>
    <w:rsid w:val="00210931"/>
    <w:rsid w:val="00210F77"/>
    <w:rsid w:val="00215683"/>
    <w:rsid w:val="00217D8A"/>
    <w:rsid w:val="00224919"/>
    <w:rsid w:val="00225115"/>
    <w:rsid w:val="00225B27"/>
    <w:rsid w:val="00230B5E"/>
    <w:rsid w:val="002350B3"/>
    <w:rsid w:val="00240A1B"/>
    <w:rsid w:val="00251F94"/>
    <w:rsid w:val="00253520"/>
    <w:rsid w:val="00254F01"/>
    <w:rsid w:val="00257DCE"/>
    <w:rsid w:val="002628ED"/>
    <w:rsid w:val="00263A76"/>
    <w:rsid w:val="00266665"/>
    <w:rsid w:val="0027429E"/>
    <w:rsid w:val="00277F55"/>
    <w:rsid w:val="00282496"/>
    <w:rsid w:val="0028338E"/>
    <w:rsid w:val="002918BA"/>
    <w:rsid w:val="00291EED"/>
    <w:rsid w:val="002961C8"/>
    <w:rsid w:val="002A5F30"/>
    <w:rsid w:val="002A6D16"/>
    <w:rsid w:val="002A79F9"/>
    <w:rsid w:val="002B04C6"/>
    <w:rsid w:val="002B13ED"/>
    <w:rsid w:val="002B4129"/>
    <w:rsid w:val="002B5C43"/>
    <w:rsid w:val="002B62CF"/>
    <w:rsid w:val="002C4136"/>
    <w:rsid w:val="002C5ED0"/>
    <w:rsid w:val="002D2864"/>
    <w:rsid w:val="002D32A6"/>
    <w:rsid w:val="002D42DA"/>
    <w:rsid w:val="002D4BC0"/>
    <w:rsid w:val="002D6785"/>
    <w:rsid w:val="002E090F"/>
    <w:rsid w:val="002E1B23"/>
    <w:rsid w:val="002F041F"/>
    <w:rsid w:val="00300138"/>
    <w:rsid w:val="003048AE"/>
    <w:rsid w:val="003110FC"/>
    <w:rsid w:val="0031592A"/>
    <w:rsid w:val="0031759B"/>
    <w:rsid w:val="0032080B"/>
    <w:rsid w:val="003236CE"/>
    <w:rsid w:val="0032725B"/>
    <w:rsid w:val="00337E3E"/>
    <w:rsid w:val="003408E7"/>
    <w:rsid w:val="00340BC6"/>
    <w:rsid w:val="00341FCC"/>
    <w:rsid w:val="003437AA"/>
    <w:rsid w:val="00343E7D"/>
    <w:rsid w:val="00345F05"/>
    <w:rsid w:val="00351134"/>
    <w:rsid w:val="003517B1"/>
    <w:rsid w:val="003531B5"/>
    <w:rsid w:val="003576F6"/>
    <w:rsid w:val="00357D79"/>
    <w:rsid w:val="00361549"/>
    <w:rsid w:val="00361E36"/>
    <w:rsid w:val="00362F7C"/>
    <w:rsid w:val="00364B4F"/>
    <w:rsid w:val="00381986"/>
    <w:rsid w:val="00385F1D"/>
    <w:rsid w:val="00387FF4"/>
    <w:rsid w:val="003A042B"/>
    <w:rsid w:val="003B2F38"/>
    <w:rsid w:val="003B4314"/>
    <w:rsid w:val="003B51EB"/>
    <w:rsid w:val="003B5DBD"/>
    <w:rsid w:val="003B7AF3"/>
    <w:rsid w:val="003D003C"/>
    <w:rsid w:val="003E0D0E"/>
    <w:rsid w:val="003E25FF"/>
    <w:rsid w:val="003E47D0"/>
    <w:rsid w:val="003F283D"/>
    <w:rsid w:val="003F6251"/>
    <w:rsid w:val="00401726"/>
    <w:rsid w:val="00404B16"/>
    <w:rsid w:val="004053EC"/>
    <w:rsid w:val="00416B32"/>
    <w:rsid w:val="00425696"/>
    <w:rsid w:val="00426E7A"/>
    <w:rsid w:val="00427872"/>
    <w:rsid w:val="004409CC"/>
    <w:rsid w:val="004502C5"/>
    <w:rsid w:val="00450FBC"/>
    <w:rsid w:val="00463354"/>
    <w:rsid w:val="00463365"/>
    <w:rsid w:val="0046692E"/>
    <w:rsid w:val="004708CB"/>
    <w:rsid w:val="00473D92"/>
    <w:rsid w:val="0047459C"/>
    <w:rsid w:val="00474684"/>
    <w:rsid w:val="004772C7"/>
    <w:rsid w:val="0047749C"/>
    <w:rsid w:val="00481D39"/>
    <w:rsid w:val="00494976"/>
    <w:rsid w:val="004A290E"/>
    <w:rsid w:val="004A67C3"/>
    <w:rsid w:val="004B02E1"/>
    <w:rsid w:val="004B5F9E"/>
    <w:rsid w:val="004B6BFD"/>
    <w:rsid w:val="004C06BB"/>
    <w:rsid w:val="004C16CA"/>
    <w:rsid w:val="004C1922"/>
    <w:rsid w:val="004C4052"/>
    <w:rsid w:val="004C5BB7"/>
    <w:rsid w:val="004D0E68"/>
    <w:rsid w:val="004D0FBD"/>
    <w:rsid w:val="004D1A49"/>
    <w:rsid w:val="004E0B61"/>
    <w:rsid w:val="004E6DBE"/>
    <w:rsid w:val="004F6CA9"/>
    <w:rsid w:val="005035CD"/>
    <w:rsid w:val="005045C9"/>
    <w:rsid w:val="0050567A"/>
    <w:rsid w:val="00506CED"/>
    <w:rsid w:val="00506E69"/>
    <w:rsid w:val="005133AD"/>
    <w:rsid w:val="00514EC0"/>
    <w:rsid w:val="005240E8"/>
    <w:rsid w:val="00524B3A"/>
    <w:rsid w:val="005279E1"/>
    <w:rsid w:val="00531648"/>
    <w:rsid w:val="00533541"/>
    <w:rsid w:val="00534C11"/>
    <w:rsid w:val="00535B4E"/>
    <w:rsid w:val="00537B27"/>
    <w:rsid w:val="00540DF9"/>
    <w:rsid w:val="00546703"/>
    <w:rsid w:val="00547D0E"/>
    <w:rsid w:val="00554BD0"/>
    <w:rsid w:val="00554E96"/>
    <w:rsid w:val="0056640A"/>
    <w:rsid w:val="005672CD"/>
    <w:rsid w:val="00571F71"/>
    <w:rsid w:val="00571FF3"/>
    <w:rsid w:val="0057309D"/>
    <w:rsid w:val="00573AD3"/>
    <w:rsid w:val="00573B51"/>
    <w:rsid w:val="00575E9A"/>
    <w:rsid w:val="005824F2"/>
    <w:rsid w:val="00583369"/>
    <w:rsid w:val="00583B3B"/>
    <w:rsid w:val="005908B7"/>
    <w:rsid w:val="00591CAE"/>
    <w:rsid w:val="005A0529"/>
    <w:rsid w:val="005A4CD0"/>
    <w:rsid w:val="005B466E"/>
    <w:rsid w:val="005B722C"/>
    <w:rsid w:val="005C664D"/>
    <w:rsid w:val="005D44A9"/>
    <w:rsid w:val="005E0AB0"/>
    <w:rsid w:val="005E57A7"/>
    <w:rsid w:val="005E79ED"/>
    <w:rsid w:val="005F00E7"/>
    <w:rsid w:val="005F7A3E"/>
    <w:rsid w:val="006008D2"/>
    <w:rsid w:val="00604015"/>
    <w:rsid w:val="00616236"/>
    <w:rsid w:val="00617564"/>
    <w:rsid w:val="00620915"/>
    <w:rsid w:val="00620CBA"/>
    <w:rsid w:val="0062629D"/>
    <w:rsid w:val="0062630B"/>
    <w:rsid w:val="0063011F"/>
    <w:rsid w:val="006345E5"/>
    <w:rsid w:val="006409A1"/>
    <w:rsid w:val="00640B8F"/>
    <w:rsid w:val="006512B8"/>
    <w:rsid w:val="006525A8"/>
    <w:rsid w:val="00660E86"/>
    <w:rsid w:val="00662769"/>
    <w:rsid w:val="00665E3C"/>
    <w:rsid w:val="00671375"/>
    <w:rsid w:val="00671469"/>
    <w:rsid w:val="00671492"/>
    <w:rsid w:val="0067774C"/>
    <w:rsid w:val="006803E2"/>
    <w:rsid w:val="00680ED2"/>
    <w:rsid w:val="0068247F"/>
    <w:rsid w:val="00683FD6"/>
    <w:rsid w:val="00687815"/>
    <w:rsid w:val="00690F77"/>
    <w:rsid w:val="0069135E"/>
    <w:rsid w:val="00692FCA"/>
    <w:rsid w:val="0069798B"/>
    <w:rsid w:val="006A1139"/>
    <w:rsid w:val="006A4221"/>
    <w:rsid w:val="006A5BC8"/>
    <w:rsid w:val="006D20DB"/>
    <w:rsid w:val="006D7DD8"/>
    <w:rsid w:val="006E285D"/>
    <w:rsid w:val="006E2CD1"/>
    <w:rsid w:val="006F22B4"/>
    <w:rsid w:val="006F610F"/>
    <w:rsid w:val="00703A16"/>
    <w:rsid w:val="00707727"/>
    <w:rsid w:val="007119EB"/>
    <w:rsid w:val="00711FCD"/>
    <w:rsid w:val="00712889"/>
    <w:rsid w:val="0071798A"/>
    <w:rsid w:val="00722A31"/>
    <w:rsid w:val="00723683"/>
    <w:rsid w:val="00726FE7"/>
    <w:rsid w:val="00730CB3"/>
    <w:rsid w:val="007361A5"/>
    <w:rsid w:val="0074308B"/>
    <w:rsid w:val="0074646F"/>
    <w:rsid w:val="00747609"/>
    <w:rsid w:val="0075084E"/>
    <w:rsid w:val="0075505C"/>
    <w:rsid w:val="0075592B"/>
    <w:rsid w:val="00756072"/>
    <w:rsid w:val="007568CC"/>
    <w:rsid w:val="00764901"/>
    <w:rsid w:val="00770DC9"/>
    <w:rsid w:val="00770E4D"/>
    <w:rsid w:val="00777E40"/>
    <w:rsid w:val="00780C2F"/>
    <w:rsid w:val="00782DF5"/>
    <w:rsid w:val="00784C5E"/>
    <w:rsid w:val="00785AEE"/>
    <w:rsid w:val="007908CB"/>
    <w:rsid w:val="00793C1E"/>
    <w:rsid w:val="007A1375"/>
    <w:rsid w:val="007A27D6"/>
    <w:rsid w:val="007A512B"/>
    <w:rsid w:val="007A6471"/>
    <w:rsid w:val="007A7F92"/>
    <w:rsid w:val="007B1337"/>
    <w:rsid w:val="007B2486"/>
    <w:rsid w:val="007B336B"/>
    <w:rsid w:val="007B5F06"/>
    <w:rsid w:val="007B624A"/>
    <w:rsid w:val="007C2B4C"/>
    <w:rsid w:val="007C5316"/>
    <w:rsid w:val="007D32C5"/>
    <w:rsid w:val="007D3CE5"/>
    <w:rsid w:val="007D71AC"/>
    <w:rsid w:val="007F4B39"/>
    <w:rsid w:val="007F7A93"/>
    <w:rsid w:val="0080334E"/>
    <w:rsid w:val="008108D3"/>
    <w:rsid w:val="008120E6"/>
    <w:rsid w:val="00812EA7"/>
    <w:rsid w:val="008144D4"/>
    <w:rsid w:val="00815943"/>
    <w:rsid w:val="00823388"/>
    <w:rsid w:val="00827792"/>
    <w:rsid w:val="00832E1F"/>
    <w:rsid w:val="00833550"/>
    <w:rsid w:val="008348FF"/>
    <w:rsid w:val="00834B20"/>
    <w:rsid w:val="00840C15"/>
    <w:rsid w:val="00841401"/>
    <w:rsid w:val="008421A4"/>
    <w:rsid w:val="00842509"/>
    <w:rsid w:val="00843995"/>
    <w:rsid w:val="00845806"/>
    <w:rsid w:val="00854793"/>
    <w:rsid w:val="00856BAC"/>
    <w:rsid w:val="008578EB"/>
    <w:rsid w:val="00860213"/>
    <w:rsid w:val="0086054B"/>
    <w:rsid w:val="00861B26"/>
    <w:rsid w:val="008754E2"/>
    <w:rsid w:val="00876DE9"/>
    <w:rsid w:val="0088298C"/>
    <w:rsid w:val="00883650"/>
    <w:rsid w:val="008859EF"/>
    <w:rsid w:val="00885DD3"/>
    <w:rsid w:val="00887191"/>
    <w:rsid w:val="0089011F"/>
    <w:rsid w:val="0089144D"/>
    <w:rsid w:val="0089583E"/>
    <w:rsid w:val="008A6DC9"/>
    <w:rsid w:val="008B13A4"/>
    <w:rsid w:val="008B3CC2"/>
    <w:rsid w:val="008C3767"/>
    <w:rsid w:val="008C3EFC"/>
    <w:rsid w:val="008C7467"/>
    <w:rsid w:val="008D52D4"/>
    <w:rsid w:val="008E12D8"/>
    <w:rsid w:val="008E31C3"/>
    <w:rsid w:val="008E55A4"/>
    <w:rsid w:val="008F36B1"/>
    <w:rsid w:val="008F521B"/>
    <w:rsid w:val="008F5283"/>
    <w:rsid w:val="008F5906"/>
    <w:rsid w:val="00905FCA"/>
    <w:rsid w:val="00916294"/>
    <w:rsid w:val="00921EE6"/>
    <w:rsid w:val="0092323C"/>
    <w:rsid w:val="0092609D"/>
    <w:rsid w:val="00926B63"/>
    <w:rsid w:val="0093058F"/>
    <w:rsid w:val="00931711"/>
    <w:rsid w:val="009331A7"/>
    <w:rsid w:val="00933A15"/>
    <w:rsid w:val="00934307"/>
    <w:rsid w:val="00934578"/>
    <w:rsid w:val="00936D1A"/>
    <w:rsid w:val="00937C6C"/>
    <w:rsid w:val="00946BFC"/>
    <w:rsid w:val="00947398"/>
    <w:rsid w:val="00952999"/>
    <w:rsid w:val="00954039"/>
    <w:rsid w:val="00961C6A"/>
    <w:rsid w:val="00970F7C"/>
    <w:rsid w:val="00971E0D"/>
    <w:rsid w:val="00973DE9"/>
    <w:rsid w:val="00974150"/>
    <w:rsid w:val="00976CAC"/>
    <w:rsid w:val="00977B12"/>
    <w:rsid w:val="009844C1"/>
    <w:rsid w:val="0098607E"/>
    <w:rsid w:val="00991B1E"/>
    <w:rsid w:val="00996AF6"/>
    <w:rsid w:val="009A409A"/>
    <w:rsid w:val="009B202E"/>
    <w:rsid w:val="009B2389"/>
    <w:rsid w:val="009B541F"/>
    <w:rsid w:val="009B677B"/>
    <w:rsid w:val="009C28E0"/>
    <w:rsid w:val="009C4313"/>
    <w:rsid w:val="009C60CE"/>
    <w:rsid w:val="009D2970"/>
    <w:rsid w:val="009D5F31"/>
    <w:rsid w:val="009E68FE"/>
    <w:rsid w:val="009F13AE"/>
    <w:rsid w:val="009F21E3"/>
    <w:rsid w:val="009F2958"/>
    <w:rsid w:val="009F3004"/>
    <w:rsid w:val="009F3E05"/>
    <w:rsid w:val="009F5E7A"/>
    <w:rsid w:val="00A02AEC"/>
    <w:rsid w:val="00A04F72"/>
    <w:rsid w:val="00A050AF"/>
    <w:rsid w:val="00A103E4"/>
    <w:rsid w:val="00A11CCF"/>
    <w:rsid w:val="00A11F14"/>
    <w:rsid w:val="00A13BF7"/>
    <w:rsid w:val="00A23DF3"/>
    <w:rsid w:val="00A2551E"/>
    <w:rsid w:val="00A26D99"/>
    <w:rsid w:val="00A45AA5"/>
    <w:rsid w:val="00A55ADD"/>
    <w:rsid w:val="00A572CD"/>
    <w:rsid w:val="00A57D6B"/>
    <w:rsid w:val="00A60C61"/>
    <w:rsid w:val="00A6133E"/>
    <w:rsid w:val="00A629C2"/>
    <w:rsid w:val="00A6509B"/>
    <w:rsid w:val="00A65CD8"/>
    <w:rsid w:val="00A702B3"/>
    <w:rsid w:val="00A73C9D"/>
    <w:rsid w:val="00A74D96"/>
    <w:rsid w:val="00A74D9E"/>
    <w:rsid w:val="00A76578"/>
    <w:rsid w:val="00A8221B"/>
    <w:rsid w:val="00A82CAB"/>
    <w:rsid w:val="00A837D4"/>
    <w:rsid w:val="00A83EA1"/>
    <w:rsid w:val="00A86EE6"/>
    <w:rsid w:val="00A902CC"/>
    <w:rsid w:val="00A947E8"/>
    <w:rsid w:val="00A97772"/>
    <w:rsid w:val="00AA003E"/>
    <w:rsid w:val="00AA1493"/>
    <w:rsid w:val="00AA2B91"/>
    <w:rsid w:val="00AA619C"/>
    <w:rsid w:val="00AB2C0D"/>
    <w:rsid w:val="00AB61BD"/>
    <w:rsid w:val="00AB7A5E"/>
    <w:rsid w:val="00AD0DA4"/>
    <w:rsid w:val="00AD1204"/>
    <w:rsid w:val="00AD6503"/>
    <w:rsid w:val="00AE0597"/>
    <w:rsid w:val="00AE0BB2"/>
    <w:rsid w:val="00AE13BC"/>
    <w:rsid w:val="00AE7761"/>
    <w:rsid w:val="00AF198B"/>
    <w:rsid w:val="00AF5F74"/>
    <w:rsid w:val="00B00100"/>
    <w:rsid w:val="00B00BC4"/>
    <w:rsid w:val="00B03ABA"/>
    <w:rsid w:val="00B11A3A"/>
    <w:rsid w:val="00B12C53"/>
    <w:rsid w:val="00B15030"/>
    <w:rsid w:val="00B16CF8"/>
    <w:rsid w:val="00B22BBB"/>
    <w:rsid w:val="00B260DB"/>
    <w:rsid w:val="00B26DA4"/>
    <w:rsid w:val="00B27394"/>
    <w:rsid w:val="00B36F2A"/>
    <w:rsid w:val="00B377BD"/>
    <w:rsid w:val="00B42613"/>
    <w:rsid w:val="00B44192"/>
    <w:rsid w:val="00B51967"/>
    <w:rsid w:val="00B62873"/>
    <w:rsid w:val="00B73992"/>
    <w:rsid w:val="00B748B6"/>
    <w:rsid w:val="00B76CB8"/>
    <w:rsid w:val="00B77C3F"/>
    <w:rsid w:val="00B84FAF"/>
    <w:rsid w:val="00B85463"/>
    <w:rsid w:val="00B9403F"/>
    <w:rsid w:val="00B95BF6"/>
    <w:rsid w:val="00BA35E7"/>
    <w:rsid w:val="00BA4858"/>
    <w:rsid w:val="00BB66B5"/>
    <w:rsid w:val="00BC111A"/>
    <w:rsid w:val="00BD5A27"/>
    <w:rsid w:val="00BD688D"/>
    <w:rsid w:val="00BE1320"/>
    <w:rsid w:val="00BE192D"/>
    <w:rsid w:val="00BE49C8"/>
    <w:rsid w:val="00BE5CF9"/>
    <w:rsid w:val="00BF2C83"/>
    <w:rsid w:val="00C116AE"/>
    <w:rsid w:val="00C12D89"/>
    <w:rsid w:val="00C142EA"/>
    <w:rsid w:val="00C25554"/>
    <w:rsid w:val="00C30E9A"/>
    <w:rsid w:val="00C365E6"/>
    <w:rsid w:val="00C416C8"/>
    <w:rsid w:val="00C43738"/>
    <w:rsid w:val="00C44737"/>
    <w:rsid w:val="00C46C5E"/>
    <w:rsid w:val="00C54E04"/>
    <w:rsid w:val="00C567D1"/>
    <w:rsid w:val="00C6126C"/>
    <w:rsid w:val="00C642BC"/>
    <w:rsid w:val="00C648AA"/>
    <w:rsid w:val="00C67895"/>
    <w:rsid w:val="00C703B5"/>
    <w:rsid w:val="00C750C6"/>
    <w:rsid w:val="00C77423"/>
    <w:rsid w:val="00C7751F"/>
    <w:rsid w:val="00C80FB8"/>
    <w:rsid w:val="00C840E1"/>
    <w:rsid w:val="00C92AE5"/>
    <w:rsid w:val="00C96A6A"/>
    <w:rsid w:val="00C97D6D"/>
    <w:rsid w:val="00CA40A8"/>
    <w:rsid w:val="00CA4A3C"/>
    <w:rsid w:val="00CA4D90"/>
    <w:rsid w:val="00CB31F0"/>
    <w:rsid w:val="00CB510F"/>
    <w:rsid w:val="00CE173B"/>
    <w:rsid w:val="00CE1A76"/>
    <w:rsid w:val="00CE3BDD"/>
    <w:rsid w:val="00CE4245"/>
    <w:rsid w:val="00CE5200"/>
    <w:rsid w:val="00CE72D6"/>
    <w:rsid w:val="00CF3C2B"/>
    <w:rsid w:val="00CF6E8F"/>
    <w:rsid w:val="00D005BF"/>
    <w:rsid w:val="00D037C4"/>
    <w:rsid w:val="00D07A95"/>
    <w:rsid w:val="00D10BE2"/>
    <w:rsid w:val="00D13132"/>
    <w:rsid w:val="00D139DE"/>
    <w:rsid w:val="00D13AE4"/>
    <w:rsid w:val="00D23208"/>
    <w:rsid w:val="00D3196F"/>
    <w:rsid w:val="00D34956"/>
    <w:rsid w:val="00D41C5E"/>
    <w:rsid w:val="00D428AA"/>
    <w:rsid w:val="00D42D63"/>
    <w:rsid w:val="00D42E6C"/>
    <w:rsid w:val="00D43E44"/>
    <w:rsid w:val="00D44FFF"/>
    <w:rsid w:val="00D506A7"/>
    <w:rsid w:val="00D54404"/>
    <w:rsid w:val="00D54D3A"/>
    <w:rsid w:val="00D60826"/>
    <w:rsid w:val="00D679DD"/>
    <w:rsid w:val="00D67FCC"/>
    <w:rsid w:val="00D70658"/>
    <w:rsid w:val="00D7196C"/>
    <w:rsid w:val="00D7620D"/>
    <w:rsid w:val="00D8380F"/>
    <w:rsid w:val="00D87867"/>
    <w:rsid w:val="00D95D95"/>
    <w:rsid w:val="00D96687"/>
    <w:rsid w:val="00DA6347"/>
    <w:rsid w:val="00DB3081"/>
    <w:rsid w:val="00DB4B6B"/>
    <w:rsid w:val="00DB6762"/>
    <w:rsid w:val="00DB701E"/>
    <w:rsid w:val="00DB7D7B"/>
    <w:rsid w:val="00DC4DFA"/>
    <w:rsid w:val="00DD14D9"/>
    <w:rsid w:val="00DD1C21"/>
    <w:rsid w:val="00DD5EB4"/>
    <w:rsid w:val="00DE6422"/>
    <w:rsid w:val="00DF3224"/>
    <w:rsid w:val="00DF7CBA"/>
    <w:rsid w:val="00E007A4"/>
    <w:rsid w:val="00E016C2"/>
    <w:rsid w:val="00E060D4"/>
    <w:rsid w:val="00E06D64"/>
    <w:rsid w:val="00E07BBA"/>
    <w:rsid w:val="00E11264"/>
    <w:rsid w:val="00E13932"/>
    <w:rsid w:val="00E225D5"/>
    <w:rsid w:val="00E26006"/>
    <w:rsid w:val="00E4270B"/>
    <w:rsid w:val="00E4344C"/>
    <w:rsid w:val="00E44F9E"/>
    <w:rsid w:val="00E46B93"/>
    <w:rsid w:val="00E50CEC"/>
    <w:rsid w:val="00E6048A"/>
    <w:rsid w:val="00E614EA"/>
    <w:rsid w:val="00E6331B"/>
    <w:rsid w:val="00E63A03"/>
    <w:rsid w:val="00E64489"/>
    <w:rsid w:val="00E6623F"/>
    <w:rsid w:val="00E66DAA"/>
    <w:rsid w:val="00E72488"/>
    <w:rsid w:val="00E73756"/>
    <w:rsid w:val="00E753C5"/>
    <w:rsid w:val="00E76F03"/>
    <w:rsid w:val="00E85887"/>
    <w:rsid w:val="00E90821"/>
    <w:rsid w:val="00E92C26"/>
    <w:rsid w:val="00EA339C"/>
    <w:rsid w:val="00EB24B1"/>
    <w:rsid w:val="00EC177A"/>
    <w:rsid w:val="00EC6210"/>
    <w:rsid w:val="00ED1C69"/>
    <w:rsid w:val="00ED317D"/>
    <w:rsid w:val="00ED5455"/>
    <w:rsid w:val="00ED655B"/>
    <w:rsid w:val="00EE326A"/>
    <w:rsid w:val="00EE3586"/>
    <w:rsid w:val="00EE3775"/>
    <w:rsid w:val="00EF0AD8"/>
    <w:rsid w:val="00EF42A0"/>
    <w:rsid w:val="00EF61E8"/>
    <w:rsid w:val="00F04821"/>
    <w:rsid w:val="00F057D3"/>
    <w:rsid w:val="00F06E3F"/>
    <w:rsid w:val="00F12077"/>
    <w:rsid w:val="00F14C18"/>
    <w:rsid w:val="00F16052"/>
    <w:rsid w:val="00F23955"/>
    <w:rsid w:val="00F2752D"/>
    <w:rsid w:val="00F307ED"/>
    <w:rsid w:val="00F351C7"/>
    <w:rsid w:val="00F35C98"/>
    <w:rsid w:val="00F37FF2"/>
    <w:rsid w:val="00F402FD"/>
    <w:rsid w:val="00F4225B"/>
    <w:rsid w:val="00F66A56"/>
    <w:rsid w:val="00F74E92"/>
    <w:rsid w:val="00F8004C"/>
    <w:rsid w:val="00F822FA"/>
    <w:rsid w:val="00F82B61"/>
    <w:rsid w:val="00F8619F"/>
    <w:rsid w:val="00F87949"/>
    <w:rsid w:val="00FA2A82"/>
    <w:rsid w:val="00FA2F50"/>
    <w:rsid w:val="00FA7592"/>
    <w:rsid w:val="00FB43A5"/>
    <w:rsid w:val="00FC44B5"/>
    <w:rsid w:val="00FC770D"/>
    <w:rsid w:val="00FD0408"/>
    <w:rsid w:val="00FE5B50"/>
    <w:rsid w:val="00FF28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E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28E0"/>
    <w:pPr>
      <w:spacing w:line="240" w:lineRule="auto"/>
      <w:jc w:val="both"/>
    </w:pPr>
  </w:style>
  <w:style w:type="paragraph" w:styleId="Nadpis1">
    <w:name w:val="heading 1"/>
    <w:basedOn w:val="Normln"/>
    <w:next w:val="Normln"/>
    <w:link w:val="Nadpis1Char"/>
    <w:uiPriority w:val="9"/>
    <w:qFormat/>
    <w:rsid w:val="009C28E0"/>
    <w:pPr>
      <w:keepNext/>
      <w:keepLines/>
      <w:numPr>
        <w:numId w:val="21"/>
      </w:numPr>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Nadpis2">
    <w:name w:val="heading 2"/>
    <w:basedOn w:val="Normln"/>
    <w:next w:val="Normln"/>
    <w:link w:val="Nadpis2Char"/>
    <w:uiPriority w:val="9"/>
    <w:unhideWhenUsed/>
    <w:qFormat/>
    <w:rsid w:val="00224919"/>
    <w:pPr>
      <w:keepNext/>
      <w:keepLines/>
      <w:numPr>
        <w:ilvl w:val="1"/>
        <w:numId w:val="21"/>
      </w:numPr>
      <w:spacing w:before="120" w:after="120"/>
      <w:contextualSpacing/>
      <w:outlineLvl w:val="1"/>
    </w:pPr>
    <w:rPr>
      <w:rFonts w:asciiTheme="majorHAnsi" w:eastAsiaTheme="majorEastAsia" w:hAnsiTheme="majorHAnsi" w:cstheme="majorBidi"/>
      <w:b/>
      <w:bCs/>
      <w:color w:val="1CADE4" w:themeColor="accent1"/>
      <w:sz w:val="26"/>
      <w:szCs w:val="26"/>
    </w:rPr>
  </w:style>
  <w:style w:type="paragraph" w:styleId="Nadpis3">
    <w:name w:val="heading 3"/>
    <w:basedOn w:val="Normln"/>
    <w:next w:val="Normln"/>
    <w:link w:val="Nadpis3Char"/>
    <w:uiPriority w:val="9"/>
    <w:unhideWhenUsed/>
    <w:qFormat/>
    <w:rsid w:val="009C28E0"/>
    <w:pPr>
      <w:keepNext/>
      <w:keepLines/>
      <w:numPr>
        <w:ilvl w:val="2"/>
        <w:numId w:val="21"/>
      </w:numPr>
      <w:spacing w:before="200" w:after="0"/>
      <w:ind w:left="720"/>
      <w:outlineLvl w:val="2"/>
    </w:pPr>
    <w:rPr>
      <w:rFonts w:asciiTheme="majorHAnsi" w:eastAsiaTheme="majorEastAsia" w:hAnsiTheme="majorHAnsi" w:cstheme="majorBidi"/>
      <w:b/>
      <w:bCs/>
      <w:color w:val="1CADE4" w:themeColor="accent1"/>
    </w:rPr>
  </w:style>
  <w:style w:type="paragraph" w:styleId="Nadpis4">
    <w:name w:val="heading 4"/>
    <w:basedOn w:val="Normln"/>
    <w:next w:val="Normln"/>
    <w:link w:val="Nadpis4Char"/>
    <w:uiPriority w:val="9"/>
    <w:unhideWhenUsed/>
    <w:qFormat/>
    <w:rsid w:val="009C28E0"/>
    <w:pPr>
      <w:keepNext/>
      <w:keepLines/>
      <w:numPr>
        <w:ilvl w:val="3"/>
        <w:numId w:val="21"/>
      </w:numPr>
      <w:spacing w:before="200" w:after="0"/>
      <w:outlineLvl w:val="3"/>
    </w:pPr>
    <w:rPr>
      <w:rFonts w:asciiTheme="majorHAnsi" w:eastAsiaTheme="majorEastAsia" w:hAnsiTheme="majorHAnsi" w:cstheme="majorBidi"/>
      <w:b/>
      <w:bCs/>
      <w:i/>
      <w:iCs/>
      <w:color w:val="1CADE4" w:themeColor="accent1"/>
    </w:rPr>
  </w:style>
  <w:style w:type="paragraph" w:styleId="Nadpis5">
    <w:name w:val="heading 5"/>
    <w:basedOn w:val="Normln"/>
    <w:next w:val="Normln"/>
    <w:link w:val="Nadpis5Char"/>
    <w:uiPriority w:val="9"/>
    <w:semiHidden/>
    <w:unhideWhenUsed/>
    <w:qFormat/>
    <w:rsid w:val="009C28E0"/>
    <w:pPr>
      <w:keepNext/>
      <w:keepLines/>
      <w:numPr>
        <w:ilvl w:val="4"/>
        <w:numId w:val="21"/>
      </w:numPr>
      <w:spacing w:before="200" w:after="0"/>
      <w:outlineLvl w:val="4"/>
    </w:pPr>
    <w:rPr>
      <w:rFonts w:asciiTheme="majorHAnsi" w:eastAsiaTheme="majorEastAsia" w:hAnsiTheme="majorHAnsi" w:cstheme="majorBidi"/>
      <w:color w:val="0D5571" w:themeColor="accent1" w:themeShade="7F"/>
    </w:rPr>
  </w:style>
  <w:style w:type="paragraph" w:styleId="Nadpis6">
    <w:name w:val="heading 6"/>
    <w:basedOn w:val="Normln"/>
    <w:next w:val="Normln"/>
    <w:link w:val="Nadpis6Char"/>
    <w:uiPriority w:val="9"/>
    <w:semiHidden/>
    <w:unhideWhenUsed/>
    <w:qFormat/>
    <w:rsid w:val="009C28E0"/>
    <w:pPr>
      <w:keepNext/>
      <w:keepLines/>
      <w:numPr>
        <w:ilvl w:val="5"/>
        <w:numId w:val="21"/>
      </w:numPr>
      <w:spacing w:before="200" w:after="0"/>
      <w:outlineLvl w:val="5"/>
    </w:pPr>
    <w:rPr>
      <w:rFonts w:asciiTheme="majorHAnsi" w:eastAsiaTheme="majorEastAsia" w:hAnsiTheme="majorHAnsi" w:cstheme="majorBidi"/>
      <w:i/>
      <w:iCs/>
      <w:color w:val="0D5571" w:themeColor="accent1" w:themeShade="7F"/>
    </w:rPr>
  </w:style>
  <w:style w:type="paragraph" w:styleId="Nadpis7">
    <w:name w:val="heading 7"/>
    <w:basedOn w:val="Normln"/>
    <w:next w:val="Normln"/>
    <w:link w:val="Nadpis7Char"/>
    <w:uiPriority w:val="9"/>
    <w:semiHidden/>
    <w:unhideWhenUsed/>
    <w:qFormat/>
    <w:rsid w:val="009C28E0"/>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C28E0"/>
    <w:pPr>
      <w:keepNext/>
      <w:keepLines/>
      <w:numPr>
        <w:ilvl w:val="7"/>
        <w:numId w:val="21"/>
      </w:numPr>
      <w:spacing w:before="200" w:after="0"/>
      <w:outlineLvl w:val="7"/>
    </w:pPr>
    <w:rPr>
      <w:rFonts w:asciiTheme="majorHAnsi" w:eastAsiaTheme="majorEastAsia" w:hAnsiTheme="majorHAnsi" w:cstheme="majorBidi"/>
      <w:color w:val="1CADE4" w:themeColor="accent1"/>
      <w:sz w:val="20"/>
      <w:szCs w:val="20"/>
    </w:rPr>
  </w:style>
  <w:style w:type="paragraph" w:styleId="Nadpis9">
    <w:name w:val="heading 9"/>
    <w:basedOn w:val="Normln"/>
    <w:next w:val="Normln"/>
    <w:link w:val="Nadpis9Char"/>
    <w:uiPriority w:val="9"/>
    <w:semiHidden/>
    <w:unhideWhenUsed/>
    <w:qFormat/>
    <w:rsid w:val="009C28E0"/>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28E0"/>
    <w:rPr>
      <w:rFonts w:asciiTheme="majorHAnsi" w:eastAsiaTheme="majorEastAsia" w:hAnsiTheme="majorHAnsi" w:cstheme="majorBidi"/>
      <w:b/>
      <w:bCs/>
      <w:color w:val="1481AB" w:themeColor="accent1" w:themeShade="BF"/>
      <w:sz w:val="28"/>
      <w:szCs w:val="28"/>
    </w:rPr>
  </w:style>
  <w:style w:type="paragraph" w:styleId="Odstavecseseznamem">
    <w:name w:val="List Paragraph"/>
    <w:aliases w:val="Nad,Odstavec_muj,Název grafu,nad 1"/>
    <w:basedOn w:val="Normln"/>
    <w:link w:val="OdstavecseseznamemChar"/>
    <w:uiPriority w:val="34"/>
    <w:qFormat/>
    <w:rsid w:val="009F13AE"/>
    <w:pPr>
      <w:ind w:left="720"/>
      <w:contextualSpacing/>
    </w:pPr>
  </w:style>
  <w:style w:type="paragraph" w:styleId="Zhlav">
    <w:name w:val="header"/>
    <w:basedOn w:val="Normln"/>
    <w:link w:val="ZhlavChar"/>
    <w:uiPriority w:val="99"/>
    <w:unhideWhenUsed/>
    <w:rsid w:val="00E614EA"/>
    <w:pPr>
      <w:tabs>
        <w:tab w:val="center" w:pos="4536"/>
        <w:tab w:val="right" w:pos="9072"/>
      </w:tabs>
      <w:spacing w:after="0"/>
    </w:pPr>
  </w:style>
  <w:style w:type="character" w:customStyle="1" w:styleId="ZhlavChar">
    <w:name w:val="Záhlaví Char"/>
    <w:basedOn w:val="Standardnpsmoodstavce"/>
    <w:link w:val="Zhlav"/>
    <w:uiPriority w:val="99"/>
    <w:rsid w:val="00E614EA"/>
    <w:rPr>
      <w:rFonts w:ascii="Calibri" w:eastAsia="Calibri" w:hAnsi="Calibri" w:cs="Calibri"/>
      <w:lang w:eastAsia="cs-CZ"/>
    </w:rPr>
  </w:style>
  <w:style w:type="paragraph" w:styleId="Zpat">
    <w:name w:val="footer"/>
    <w:basedOn w:val="Normln"/>
    <w:link w:val="ZpatChar"/>
    <w:uiPriority w:val="99"/>
    <w:unhideWhenUsed/>
    <w:rsid w:val="00E614EA"/>
    <w:pPr>
      <w:tabs>
        <w:tab w:val="center" w:pos="4536"/>
        <w:tab w:val="right" w:pos="9072"/>
      </w:tabs>
      <w:spacing w:after="0"/>
    </w:pPr>
  </w:style>
  <w:style w:type="character" w:customStyle="1" w:styleId="ZpatChar">
    <w:name w:val="Zápatí Char"/>
    <w:basedOn w:val="Standardnpsmoodstavce"/>
    <w:link w:val="Zpat"/>
    <w:uiPriority w:val="99"/>
    <w:rsid w:val="00E614EA"/>
    <w:rPr>
      <w:rFonts w:ascii="Calibri" w:eastAsia="Calibri" w:hAnsi="Calibri" w:cs="Calibri"/>
      <w:lang w:eastAsia="cs-CZ"/>
    </w:rPr>
  </w:style>
  <w:style w:type="character" w:customStyle="1" w:styleId="Nadpis2Char">
    <w:name w:val="Nadpis 2 Char"/>
    <w:basedOn w:val="Standardnpsmoodstavce"/>
    <w:link w:val="Nadpis2"/>
    <w:uiPriority w:val="9"/>
    <w:rsid w:val="00224919"/>
    <w:rPr>
      <w:rFonts w:asciiTheme="majorHAnsi" w:eastAsiaTheme="majorEastAsia" w:hAnsiTheme="majorHAnsi" w:cstheme="majorBidi"/>
      <w:b/>
      <w:bCs/>
      <w:color w:val="1CADE4" w:themeColor="accent1"/>
      <w:sz w:val="26"/>
      <w:szCs w:val="26"/>
    </w:rPr>
  </w:style>
  <w:style w:type="character" w:customStyle="1" w:styleId="Nadpis3Char">
    <w:name w:val="Nadpis 3 Char"/>
    <w:basedOn w:val="Standardnpsmoodstavce"/>
    <w:link w:val="Nadpis3"/>
    <w:uiPriority w:val="9"/>
    <w:rsid w:val="009C28E0"/>
    <w:rPr>
      <w:rFonts w:asciiTheme="majorHAnsi" w:eastAsiaTheme="majorEastAsia" w:hAnsiTheme="majorHAnsi" w:cstheme="majorBidi"/>
      <w:b/>
      <w:bCs/>
      <w:color w:val="1CADE4" w:themeColor="accent1"/>
    </w:rPr>
  </w:style>
  <w:style w:type="character" w:customStyle="1" w:styleId="Nadpis4Char">
    <w:name w:val="Nadpis 4 Char"/>
    <w:basedOn w:val="Standardnpsmoodstavce"/>
    <w:link w:val="Nadpis4"/>
    <w:uiPriority w:val="9"/>
    <w:rsid w:val="009C28E0"/>
    <w:rPr>
      <w:rFonts w:asciiTheme="majorHAnsi" w:eastAsiaTheme="majorEastAsia" w:hAnsiTheme="majorHAnsi" w:cstheme="majorBidi"/>
      <w:b/>
      <w:bCs/>
      <w:i/>
      <w:iCs/>
      <w:color w:val="1CADE4" w:themeColor="accent1"/>
    </w:rPr>
  </w:style>
  <w:style w:type="character" w:customStyle="1" w:styleId="Nadpis5Char">
    <w:name w:val="Nadpis 5 Char"/>
    <w:basedOn w:val="Standardnpsmoodstavce"/>
    <w:link w:val="Nadpis5"/>
    <w:uiPriority w:val="9"/>
    <w:semiHidden/>
    <w:rsid w:val="009C28E0"/>
    <w:rPr>
      <w:rFonts w:asciiTheme="majorHAnsi" w:eastAsiaTheme="majorEastAsia" w:hAnsiTheme="majorHAnsi" w:cstheme="majorBidi"/>
      <w:color w:val="0D5571" w:themeColor="accent1" w:themeShade="7F"/>
    </w:rPr>
  </w:style>
  <w:style w:type="character" w:customStyle="1" w:styleId="Nadpis6Char">
    <w:name w:val="Nadpis 6 Char"/>
    <w:basedOn w:val="Standardnpsmoodstavce"/>
    <w:link w:val="Nadpis6"/>
    <w:uiPriority w:val="9"/>
    <w:semiHidden/>
    <w:rsid w:val="009C28E0"/>
    <w:rPr>
      <w:rFonts w:asciiTheme="majorHAnsi" w:eastAsiaTheme="majorEastAsia" w:hAnsiTheme="majorHAnsi" w:cstheme="majorBidi"/>
      <w:i/>
      <w:iCs/>
      <w:color w:val="0D5571" w:themeColor="accent1" w:themeShade="7F"/>
    </w:rPr>
  </w:style>
  <w:style w:type="character" w:customStyle="1" w:styleId="Nadpis7Char">
    <w:name w:val="Nadpis 7 Char"/>
    <w:basedOn w:val="Standardnpsmoodstavce"/>
    <w:link w:val="Nadpis7"/>
    <w:uiPriority w:val="9"/>
    <w:semiHidden/>
    <w:rsid w:val="009C28E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9C28E0"/>
    <w:rPr>
      <w:rFonts w:asciiTheme="majorHAnsi" w:eastAsiaTheme="majorEastAsia" w:hAnsiTheme="majorHAnsi" w:cstheme="majorBidi"/>
      <w:color w:val="1CADE4" w:themeColor="accent1"/>
      <w:sz w:val="20"/>
      <w:szCs w:val="20"/>
    </w:rPr>
  </w:style>
  <w:style w:type="character" w:customStyle="1" w:styleId="Nadpis9Char">
    <w:name w:val="Nadpis 9 Char"/>
    <w:basedOn w:val="Standardnpsmoodstavce"/>
    <w:link w:val="Nadpis9"/>
    <w:uiPriority w:val="9"/>
    <w:semiHidden/>
    <w:rsid w:val="009C28E0"/>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9C28E0"/>
    <w:rPr>
      <w:b/>
      <w:bCs/>
      <w:color w:val="1CADE4" w:themeColor="accent1"/>
      <w:sz w:val="18"/>
      <w:szCs w:val="18"/>
    </w:rPr>
  </w:style>
  <w:style w:type="paragraph" w:styleId="Nzev">
    <w:name w:val="Title"/>
    <w:basedOn w:val="Normln"/>
    <w:next w:val="Normln"/>
    <w:link w:val="NzevChar"/>
    <w:uiPriority w:val="10"/>
    <w:qFormat/>
    <w:rsid w:val="009C28E0"/>
    <w:pPr>
      <w:pBdr>
        <w:bottom w:val="single" w:sz="8" w:space="4" w:color="1CADE4" w:themeColor="accent1"/>
      </w:pBdr>
      <w:spacing w:after="300"/>
      <w:contextualSpacing/>
    </w:pPr>
    <w:rPr>
      <w:rFonts w:asciiTheme="majorHAnsi" w:eastAsiaTheme="majorEastAsia" w:hAnsiTheme="majorHAnsi" w:cstheme="majorBidi"/>
      <w:color w:val="264356" w:themeColor="text2" w:themeShade="BF"/>
      <w:spacing w:val="5"/>
      <w:sz w:val="52"/>
      <w:szCs w:val="52"/>
    </w:rPr>
  </w:style>
  <w:style w:type="character" w:customStyle="1" w:styleId="NzevChar">
    <w:name w:val="Název Char"/>
    <w:basedOn w:val="Standardnpsmoodstavce"/>
    <w:link w:val="Nzev"/>
    <w:uiPriority w:val="10"/>
    <w:rsid w:val="009C28E0"/>
    <w:rPr>
      <w:rFonts w:asciiTheme="majorHAnsi" w:eastAsiaTheme="majorEastAsia" w:hAnsiTheme="majorHAnsi" w:cstheme="majorBidi"/>
      <w:color w:val="264356" w:themeColor="text2" w:themeShade="BF"/>
      <w:spacing w:val="5"/>
      <w:sz w:val="52"/>
      <w:szCs w:val="52"/>
    </w:rPr>
  </w:style>
  <w:style w:type="paragraph" w:styleId="Podnadpis">
    <w:name w:val="Subtitle"/>
    <w:basedOn w:val="Normln"/>
    <w:next w:val="Normln"/>
    <w:link w:val="PodnadpisChar"/>
    <w:uiPriority w:val="11"/>
    <w:qFormat/>
    <w:rsid w:val="009C28E0"/>
    <w:pPr>
      <w:numPr>
        <w:ilvl w:val="1"/>
      </w:numPr>
    </w:pPr>
    <w:rPr>
      <w:rFonts w:asciiTheme="majorHAnsi" w:eastAsiaTheme="majorEastAsia" w:hAnsiTheme="majorHAnsi" w:cstheme="majorBidi"/>
      <w:i/>
      <w:iCs/>
      <w:color w:val="1CADE4" w:themeColor="accent1"/>
      <w:spacing w:val="15"/>
      <w:sz w:val="24"/>
      <w:szCs w:val="24"/>
    </w:rPr>
  </w:style>
  <w:style w:type="character" w:customStyle="1" w:styleId="PodnadpisChar">
    <w:name w:val="Podnadpis Char"/>
    <w:basedOn w:val="Standardnpsmoodstavce"/>
    <w:link w:val="Podnadpis"/>
    <w:uiPriority w:val="11"/>
    <w:rsid w:val="009C28E0"/>
    <w:rPr>
      <w:rFonts w:asciiTheme="majorHAnsi" w:eastAsiaTheme="majorEastAsia" w:hAnsiTheme="majorHAnsi" w:cstheme="majorBidi"/>
      <w:i/>
      <w:iCs/>
      <w:color w:val="1CADE4" w:themeColor="accent1"/>
      <w:spacing w:val="15"/>
      <w:sz w:val="24"/>
      <w:szCs w:val="24"/>
    </w:rPr>
  </w:style>
  <w:style w:type="character" w:styleId="Siln">
    <w:name w:val="Strong"/>
    <w:basedOn w:val="Standardnpsmoodstavce"/>
    <w:uiPriority w:val="22"/>
    <w:qFormat/>
    <w:rsid w:val="009C28E0"/>
    <w:rPr>
      <w:b/>
      <w:bCs/>
    </w:rPr>
  </w:style>
  <w:style w:type="character" w:styleId="Zdraznn">
    <w:name w:val="Emphasis"/>
    <w:basedOn w:val="Standardnpsmoodstavce"/>
    <w:uiPriority w:val="20"/>
    <w:qFormat/>
    <w:rsid w:val="009C28E0"/>
    <w:rPr>
      <w:i/>
      <w:iCs/>
    </w:rPr>
  </w:style>
  <w:style w:type="paragraph" w:styleId="Bezmezer">
    <w:name w:val="No Spacing"/>
    <w:uiPriority w:val="1"/>
    <w:qFormat/>
    <w:rsid w:val="009C28E0"/>
    <w:pPr>
      <w:spacing w:after="0" w:line="240" w:lineRule="auto"/>
    </w:pPr>
  </w:style>
  <w:style w:type="paragraph" w:styleId="Citt">
    <w:name w:val="Quote"/>
    <w:basedOn w:val="Normln"/>
    <w:next w:val="Normln"/>
    <w:link w:val="CittChar"/>
    <w:uiPriority w:val="29"/>
    <w:qFormat/>
    <w:rsid w:val="009C28E0"/>
    <w:rPr>
      <w:i/>
      <w:iCs/>
      <w:color w:val="000000" w:themeColor="text1"/>
    </w:rPr>
  </w:style>
  <w:style w:type="character" w:customStyle="1" w:styleId="CittChar">
    <w:name w:val="Citát Char"/>
    <w:basedOn w:val="Standardnpsmoodstavce"/>
    <w:link w:val="Citt"/>
    <w:uiPriority w:val="29"/>
    <w:rsid w:val="009C28E0"/>
    <w:rPr>
      <w:i/>
      <w:iCs/>
      <w:color w:val="000000" w:themeColor="text1"/>
    </w:rPr>
  </w:style>
  <w:style w:type="paragraph" w:styleId="Vrazncitt">
    <w:name w:val="Intense Quote"/>
    <w:basedOn w:val="Normln"/>
    <w:next w:val="Normln"/>
    <w:link w:val="VrazncittChar"/>
    <w:uiPriority w:val="30"/>
    <w:qFormat/>
    <w:rsid w:val="009C28E0"/>
    <w:pPr>
      <w:pBdr>
        <w:bottom w:val="single" w:sz="4" w:space="4" w:color="1CADE4" w:themeColor="accent1"/>
      </w:pBdr>
      <w:spacing w:before="200" w:after="280"/>
      <w:ind w:left="936" w:right="936"/>
    </w:pPr>
    <w:rPr>
      <w:b/>
      <w:bCs/>
      <w:i/>
      <w:iCs/>
      <w:color w:val="1CADE4" w:themeColor="accent1"/>
    </w:rPr>
  </w:style>
  <w:style w:type="character" w:customStyle="1" w:styleId="VrazncittChar">
    <w:name w:val="Výrazný citát Char"/>
    <w:basedOn w:val="Standardnpsmoodstavce"/>
    <w:link w:val="Vrazncitt"/>
    <w:uiPriority w:val="30"/>
    <w:rsid w:val="009C28E0"/>
    <w:rPr>
      <w:b/>
      <w:bCs/>
      <w:i/>
      <w:iCs/>
      <w:color w:val="1CADE4" w:themeColor="accent1"/>
    </w:rPr>
  </w:style>
  <w:style w:type="character" w:styleId="Zdraznnjemn">
    <w:name w:val="Subtle Emphasis"/>
    <w:basedOn w:val="Standardnpsmoodstavce"/>
    <w:uiPriority w:val="19"/>
    <w:qFormat/>
    <w:rsid w:val="009C28E0"/>
    <w:rPr>
      <w:i/>
      <w:iCs/>
      <w:color w:val="808080" w:themeColor="text1" w:themeTint="7F"/>
    </w:rPr>
  </w:style>
  <w:style w:type="character" w:styleId="Zdraznnintenzivn">
    <w:name w:val="Intense Emphasis"/>
    <w:basedOn w:val="Standardnpsmoodstavce"/>
    <w:uiPriority w:val="21"/>
    <w:qFormat/>
    <w:rsid w:val="009C28E0"/>
    <w:rPr>
      <w:b/>
      <w:bCs/>
      <w:i/>
      <w:iCs/>
      <w:color w:val="1CADE4" w:themeColor="accent1"/>
    </w:rPr>
  </w:style>
  <w:style w:type="character" w:styleId="Odkazjemn">
    <w:name w:val="Subtle Reference"/>
    <w:basedOn w:val="Standardnpsmoodstavce"/>
    <w:uiPriority w:val="31"/>
    <w:qFormat/>
    <w:rsid w:val="009C28E0"/>
    <w:rPr>
      <w:smallCaps/>
      <w:color w:val="2683C6" w:themeColor="accent2"/>
      <w:u w:val="single"/>
    </w:rPr>
  </w:style>
  <w:style w:type="character" w:styleId="Odkazintenzivn">
    <w:name w:val="Intense Reference"/>
    <w:basedOn w:val="Standardnpsmoodstavce"/>
    <w:uiPriority w:val="32"/>
    <w:qFormat/>
    <w:rsid w:val="009C28E0"/>
    <w:rPr>
      <w:b/>
      <w:bCs/>
      <w:smallCaps/>
      <w:color w:val="2683C6" w:themeColor="accent2"/>
      <w:spacing w:val="5"/>
      <w:u w:val="single"/>
    </w:rPr>
  </w:style>
  <w:style w:type="character" w:styleId="Nzevknihy">
    <w:name w:val="Book Title"/>
    <w:basedOn w:val="Standardnpsmoodstavce"/>
    <w:uiPriority w:val="33"/>
    <w:qFormat/>
    <w:rsid w:val="009C28E0"/>
    <w:rPr>
      <w:b/>
      <w:bCs/>
      <w:smallCaps/>
      <w:spacing w:val="5"/>
    </w:rPr>
  </w:style>
  <w:style w:type="paragraph" w:styleId="Nadpisobsahu">
    <w:name w:val="TOC Heading"/>
    <w:basedOn w:val="Nadpis1"/>
    <w:next w:val="Normln"/>
    <w:uiPriority w:val="39"/>
    <w:unhideWhenUsed/>
    <w:qFormat/>
    <w:rsid w:val="009C28E0"/>
    <w:pPr>
      <w:outlineLvl w:val="9"/>
    </w:pPr>
  </w:style>
  <w:style w:type="table" w:customStyle="1" w:styleId="Prosttabulka51">
    <w:name w:val="Prostá tabulka 51"/>
    <w:basedOn w:val="Normlntabulka"/>
    <w:uiPriority w:val="45"/>
    <w:rsid w:val="005672C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poznpodarou">
    <w:name w:val="footnote text"/>
    <w:basedOn w:val="Normln"/>
    <w:link w:val="TextpoznpodarouChar"/>
    <w:uiPriority w:val="99"/>
    <w:semiHidden/>
    <w:unhideWhenUsed/>
    <w:rsid w:val="00473D92"/>
    <w:pPr>
      <w:spacing w:after="120"/>
      <w:ind w:firstLine="720"/>
    </w:pPr>
    <w:rPr>
      <w:szCs w:val="20"/>
      <w:lang w:eastAsia="cs-CZ"/>
    </w:rPr>
  </w:style>
  <w:style w:type="character" w:customStyle="1" w:styleId="TextpoznpodarouChar">
    <w:name w:val="Text pozn. pod čarou Char"/>
    <w:basedOn w:val="Standardnpsmoodstavce"/>
    <w:link w:val="Textpoznpodarou"/>
    <w:uiPriority w:val="99"/>
    <w:semiHidden/>
    <w:rsid w:val="00473D92"/>
    <w:rPr>
      <w:szCs w:val="20"/>
      <w:lang w:eastAsia="cs-CZ"/>
    </w:rPr>
  </w:style>
  <w:style w:type="character" w:styleId="Znakapoznpodarou">
    <w:name w:val="footnote reference"/>
    <w:uiPriority w:val="99"/>
    <w:semiHidden/>
    <w:unhideWhenUsed/>
    <w:rsid w:val="00473D92"/>
    <w:rPr>
      <w:vertAlign w:val="superscript"/>
    </w:rPr>
  </w:style>
  <w:style w:type="character" w:styleId="slodku">
    <w:name w:val="line number"/>
    <w:basedOn w:val="Standardnpsmoodstavce"/>
    <w:uiPriority w:val="99"/>
    <w:semiHidden/>
    <w:unhideWhenUsed/>
    <w:rsid w:val="00340BC6"/>
  </w:style>
  <w:style w:type="character" w:customStyle="1" w:styleId="TextpoznpodarouChar1">
    <w:name w:val="Text pozn. pod čarou Char1"/>
    <w:basedOn w:val="Standardnpsmoodstavce"/>
    <w:semiHidden/>
    <w:rsid w:val="00712889"/>
  </w:style>
  <w:style w:type="table" w:customStyle="1" w:styleId="Tabulkasmkou41">
    <w:name w:val="Tabulka s mřížkou 41"/>
    <w:basedOn w:val="Normlntabulka"/>
    <w:uiPriority w:val="49"/>
    <w:rsid w:val="001A2B18"/>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Mkatabulky1">
    <w:name w:val="Mřížka tabulky1"/>
    <w:basedOn w:val="Normlntabulka"/>
    <w:next w:val="Mkatabulky"/>
    <w:uiPriority w:val="39"/>
    <w:rsid w:val="00E6448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E64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_muj Char,Název grafu Char,nad 1 Char"/>
    <w:link w:val="Odstavecseseznamem"/>
    <w:uiPriority w:val="34"/>
    <w:locked/>
    <w:rsid w:val="00845806"/>
  </w:style>
  <w:style w:type="table" w:customStyle="1" w:styleId="Tabulkasmkou31">
    <w:name w:val="Tabulka s mřížkou 31"/>
    <w:basedOn w:val="Normlntabulka"/>
    <w:uiPriority w:val="48"/>
    <w:rsid w:val="001E3C6D"/>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Textbubliny">
    <w:name w:val="Balloon Text"/>
    <w:basedOn w:val="Normln"/>
    <w:link w:val="TextbublinyChar"/>
    <w:uiPriority w:val="99"/>
    <w:semiHidden/>
    <w:unhideWhenUsed/>
    <w:rsid w:val="00E1126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1264"/>
    <w:rPr>
      <w:rFonts w:ascii="Tahoma" w:hAnsi="Tahoma" w:cs="Tahoma"/>
      <w:sz w:val="16"/>
      <w:szCs w:val="16"/>
    </w:rPr>
  </w:style>
  <w:style w:type="table" w:styleId="Svtlmka">
    <w:name w:val="Light Grid"/>
    <w:basedOn w:val="Normlntabulka"/>
    <w:uiPriority w:val="62"/>
    <w:rsid w:val="002B5C43"/>
    <w:pPr>
      <w:spacing w:after="0" w:line="240" w:lineRule="auto"/>
    </w:pPr>
    <w:rPr>
      <w:rFonts w:eastAsiaTheme="minorHAns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tednseznam2">
    <w:name w:val="Medium List 2"/>
    <w:basedOn w:val="Normlntabulka"/>
    <w:uiPriority w:val="66"/>
    <w:rsid w:val="0086054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mka3zvraznn2">
    <w:name w:val="Medium Grid 3 Accent 2"/>
    <w:basedOn w:val="Normlntabulka"/>
    <w:uiPriority w:val="69"/>
    <w:rsid w:val="008605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E0F4"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83C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83C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83C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83C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CC2E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CC2E9" w:themeFill="accent2" w:themeFillTint="7F"/>
      </w:tcPr>
    </w:tblStylePr>
  </w:style>
  <w:style w:type="table" w:styleId="Stednmka3zvraznn3">
    <w:name w:val="Medium Grid 3 Accent 3"/>
    <w:basedOn w:val="Normlntabulka"/>
    <w:uiPriority w:val="69"/>
    <w:rsid w:val="0086054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2F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CED7"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CED7"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CED7"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CED7"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E6E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E6EB" w:themeFill="accent3" w:themeFillTint="7F"/>
      </w:tcPr>
    </w:tblStylePr>
  </w:style>
  <w:style w:type="table" w:styleId="Stednstnovn2">
    <w:name w:val="Medium Shading 2"/>
    <w:basedOn w:val="Normlntabulka"/>
    <w:uiPriority w:val="64"/>
    <w:rsid w:val="00CE72D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seznam">
    <w:name w:val="Light List"/>
    <w:basedOn w:val="Normlntabulka"/>
    <w:uiPriority w:val="61"/>
    <w:rsid w:val="00CE72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ednstnovn1">
    <w:name w:val="Medium Shading 1"/>
    <w:basedOn w:val="Normlntabulka"/>
    <w:uiPriority w:val="63"/>
    <w:rsid w:val="00CE72D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Obsah1">
    <w:name w:val="toc 1"/>
    <w:basedOn w:val="Normln"/>
    <w:next w:val="Normln"/>
    <w:autoRedefine/>
    <w:uiPriority w:val="39"/>
    <w:unhideWhenUsed/>
    <w:rsid w:val="00251F94"/>
    <w:pPr>
      <w:suppressLineNumbers/>
      <w:tabs>
        <w:tab w:val="left" w:pos="440"/>
        <w:tab w:val="right" w:leader="dot" w:pos="9062"/>
      </w:tabs>
      <w:spacing w:after="100"/>
    </w:pPr>
  </w:style>
  <w:style w:type="paragraph" w:styleId="Obsah2">
    <w:name w:val="toc 2"/>
    <w:basedOn w:val="Normln"/>
    <w:next w:val="Normln"/>
    <w:autoRedefine/>
    <w:uiPriority w:val="39"/>
    <w:unhideWhenUsed/>
    <w:rsid w:val="00D005BF"/>
    <w:pPr>
      <w:suppressLineNumbers/>
      <w:tabs>
        <w:tab w:val="right" w:leader="dot" w:pos="9062"/>
      </w:tabs>
      <w:spacing w:after="100"/>
      <w:ind w:left="221"/>
    </w:pPr>
  </w:style>
  <w:style w:type="character" w:styleId="Hypertextovodkaz">
    <w:name w:val="Hyperlink"/>
    <w:basedOn w:val="Standardnpsmoodstavce"/>
    <w:uiPriority w:val="99"/>
    <w:unhideWhenUsed/>
    <w:rsid w:val="00E4344C"/>
    <w:rPr>
      <w:color w:val="6EAC1C" w:themeColor="hyperlink"/>
      <w:u w:val="single"/>
    </w:rPr>
  </w:style>
  <w:style w:type="character" w:customStyle="1" w:styleId="7464">
    <w:name w:val="_7464"/>
    <w:basedOn w:val="Standardnpsmoodstavce"/>
    <w:rsid w:val="00954039"/>
  </w:style>
  <w:style w:type="character" w:styleId="Odkaznakoment">
    <w:name w:val="annotation reference"/>
    <w:basedOn w:val="Standardnpsmoodstavce"/>
    <w:uiPriority w:val="99"/>
    <w:semiHidden/>
    <w:unhideWhenUsed/>
    <w:rsid w:val="00840C15"/>
    <w:rPr>
      <w:sz w:val="16"/>
      <w:szCs w:val="16"/>
    </w:rPr>
  </w:style>
  <w:style w:type="paragraph" w:styleId="Textkomente">
    <w:name w:val="annotation text"/>
    <w:basedOn w:val="Normln"/>
    <w:link w:val="TextkomenteChar"/>
    <w:uiPriority w:val="99"/>
    <w:unhideWhenUsed/>
    <w:rsid w:val="00840C15"/>
    <w:rPr>
      <w:sz w:val="20"/>
      <w:szCs w:val="20"/>
    </w:rPr>
  </w:style>
  <w:style w:type="character" w:customStyle="1" w:styleId="TextkomenteChar">
    <w:name w:val="Text komentáře Char"/>
    <w:basedOn w:val="Standardnpsmoodstavce"/>
    <w:link w:val="Textkomente"/>
    <w:uiPriority w:val="99"/>
    <w:rsid w:val="00840C15"/>
    <w:rPr>
      <w:sz w:val="20"/>
      <w:szCs w:val="20"/>
    </w:rPr>
  </w:style>
  <w:style w:type="paragraph" w:styleId="Pedmtkomente">
    <w:name w:val="annotation subject"/>
    <w:basedOn w:val="Textkomente"/>
    <w:next w:val="Textkomente"/>
    <w:link w:val="PedmtkomenteChar"/>
    <w:uiPriority w:val="99"/>
    <w:semiHidden/>
    <w:unhideWhenUsed/>
    <w:rsid w:val="00840C15"/>
    <w:rPr>
      <w:b/>
      <w:bCs/>
    </w:rPr>
  </w:style>
  <w:style w:type="character" w:customStyle="1" w:styleId="PedmtkomenteChar">
    <w:name w:val="Předmět komentáře Char"/>
    <w:basedOn w:val="TextkomenteChar"/>
    <w:link w:val="Pedmtkomente"/>
    <w:uiPriority w:val="99"/>
    <w:semiHidden/>
    <w:rsid w:val="00840C15"/>
    <w:rPr>
      <w:b/>
      <w:bCs/>
      <w:sz w:val="20"/>
      <w:szCs w:val="20"/>
    </w:rPr>
  </w:style>
  <w:style w:type="paragraph" w:customStyle="1" w:styleId="Default">
    <w:name w:val="Default"/>
    <w:rsid w:val="00571FF3"/>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ln"/>
    <w:rsid w:val="00B73992"/>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73992"/>
  </w:style>
  <w:style w:type="character" w:customStyle="1" w:styleId="eop">
    <w:name w:val="eop"/>
    <w:basedOn w:val="Standardnpsmoodstavce"/>
    <w:rsid w:val="00B73992"/>
  </w:style>
  <w:style w:type="paragraph" w:styleId="Obsah3">
    <w:name w:val="toc 3"/>
    <w:basedOn w:val="Normln"/>
    <w:next w:val="Normln"/>
    <w:autoRedefine/>
    <w:uiPriority w:val="39"/>
    <w:unhideWhenUsed/>
    <w:rsid w:val="00A837D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25182">
      <w:bodyDiv w:val="1"/>
      <w:marLeft w:val="0"/>
      <w:marRight w:val="0"/>
      <w:marTop w:val="0"/>
      <w:marBottom w:val="0"/>
      <w:divBdr>
        <w:top w:val="none" w:sz="0" w:space="0" w:color="auto"/>
        <w:left w:val="none" w:sz="0" w:space="0" w:color="auto"/>
        <w:bottom w:val="none" w:sz="0" w:space="0" w:color="auto"/>
        <w:right w:val="none" w:sz="0" w:space="0" w:color="auto"/>
      </w:divBdr>
    </w:div>
    <w:div w:id="108473375">
      <w:bodyDiv w:val="1"/>
      <w:marLeft w:val="0"/>
      <w:marRight w:val="0"/>
      <w:marTop w:val="0"/>
      <w:marBottom w:val="0"/>
      <w:divBdr>
        <w:top w:val="none" w:sz="0" w:space="0" w:color="auto"/>
        <w:left w:val="none" w:sz="0" w:space="0" w:color="auto"/>
        <w:bottom w:val="none" w:sz="0" w:space="0" w:color="auto"/>
        <w:right w:val="none" w:sz="0" w:space="0" w:color="auto"/>
      </w:divBdr>
    </w:div>
    <w:div w:id="292516769">
      <w:bodyDiv w:val="1"/>
      <w:marLeft w:val="0"/>
      <w:marRight w:val="0"/>
      <w:marTop w:val="0"/>
      <w:marBottom w:val="0"/>
      <w:divBdr>
        <w:top w:val="none" w:sz="0" w:space="0" w:color="auto"/>
        <w:left w:val="none" w:sz="0" w:space="0" w:color="auto"/>
        <w:bottom w:val="none" w:sz="0" w:space="0" w:color="auto"/>
        <w:right w:val="none" w:sz="0" w:space="0" w:color="auto"/>
      </w:divBdr>
      <w:divsChild>
        <w:div w:id="1667395499">
          <w:marLeft w:val="547"/>
          <w:marRight w:val="0"/>
          <w:marTop w:val="0"/>
          <w:marBottom w:val="0"/>
          <w:divBdr>
            <w:top w:val="none" w:sz="0" w:space="0" w:color="auto"/>
            <w:left w:val="none" w:sz="0" w:space="0" w:color="auto"/>
            <w:bottom w:val="none" w:sz="0" w:space="0" w:color="auto"/>
            <w:right w:val="none" w:sz="0" w:space="0" w:color="auto"/>
          </w:divBdr>
        </w:div>
      </w:divsChild>
    </w:div>
    <w:div w:id="371612508">
      <w:bodyDiv w:val="1"/>
      <w:marLeft w:val="0"/>
      <w:marRight w:val="0"/>
      <w:marTop w:val="0"/>
      <w:marBottom w:val="0"/>
      <w:divBdr>
        <w:top w:val="none" w:sz="0" w:space="0" w:color="auto"/>
        <w:left w:val="none" w:sz="0" w:space="0" w:color="auto"/>
        <w:bottom w:val="none" w:sz="0" w:space="0" w:color="auto"/>
        <w:right w:val="none" w:sz="0" w:space="0" w:color="auto"/>
      </w:divBdr>
      <w:divsChild>
        <w:div w:id="1554077453">
          <w:marLeft w:val="0"/>
          <w:marRight w:val="0"/>
          <w:marTop w:val="0"/>
          <w:marBottom w:val="0"/>
          <w:divBdr>
            <w:top w:val="none" w:sz="0" w:space="0" w:color="auto"/>
            <w:left w:val="none" w:sz="0" w:space="0" w:color="auto"/>
            <w:bottom w:val="none" w:sz="0" w:space="0" w:color="auto"/>
            <w:right w:val="none" w:sz="0" w:space="0" w:color="auto"/>
          </w:divBdr>
          <w:divsChild>
            <w:div w:id="1069495376">
              <w:marLeft w:val="0"/>
              <w:marRight w:val="0"/>
              <w:marTop w:val="0"/>
              <w:marBottom w:val="0"/>
              <w:divBdr>
                <w:top w:val="none" w:sz="0" w:space="0" w:color="auto"/>
                <w:left w:val="none" w:sz="0" w:space="0" w:color="auto"/>
                <w:bottom w:val="none" w:sz="0" w:space="0" w:color="auto"/>
                <w:right w:val="none" w:sz="0" w:space="0" w:color="auto"/>
              </w:divBdr>
            </w:div>
            <w:div w:id="152917087">
              <w:marLeft w:val="0"/>
              <w:marRight w:val="0"/>
              <w:marTop w:val="0"/>
              <w:marBottom w:val="0"/>
              <w:divBdr>
                <w:top w:val="none" w:sz="0" w:space="0" w:color="auto"/>
                <w:left w:val="none" w:sz="0" w:space="0" w:color="auto"/>
                <w:bottom w:val="none" w:sz="0" w:space="0" w:color="auto"/>
                <w:right w:val="none" w:sz="0" w:space="0" w:color="auto"/>
              </w:divBdr>
            </w:div>
            <w:div w:id="1937786992">
              <w:marLeft w:val="0"/>
              <w:marRight w:val="0"/>
              <w:marTop w:val="0"/>
              <w:marBottom w:val="0"/>
              <w:divBdr>
                <w:top w:val="none" w:sz="0" w:space="0" w:color="auto"/>
                <w:left w:val="none" w:sz="0" w:space="0" w:color="auto"/>
                <w:bottom w:val="none" w:sz="0" w:space="0" w:color="auto"/>
                <w:right w:val="none" w:sz="0" w:space="0" w:color="auto"/>
              </w:divBdr>
            </w:div>
            <w:div w:id="479929451">
              <w:marLeft w:val="0"/>
              <w:marRight w:val="0"/>
              <w:marTop w:val="0"/>
              <w:marBottom w:val="0"/>
              <w:divBdr>
                <w:top w:val="none" w:sz="0" w:space="0" w:color="auto"/>
                <w:left w:val="none" w:sz="0" w:space="0" w:color="auto"/>
                <w:bottom w:val="none" w:sz="0" w:space="0" w:color="auto"/>
                <w:right w:val="none" w:sz="0" w:space="0" w:color="auto"/>
              </w:divBdr>
            </w:div>
            <w:div w:id="2050255365">
              <w:marLeft w:val="0"/>
              <w:marRight w:val="0"/>
              <w:marTop w:val="0"/>
              <w:marBottom w:val="0"/>
              <w:divBdr>
                <w:top w:val="none" w:sz="0" w:space="0" w:color="auto"/>
                <w:left w:val="none" w:sz="0" w:space="0" w:color="auto"/>
                <w:bottom w:val="none" w:sz="0" w:space="0" w:color="auto"/>
                <w:right w:val="none" w:sz="0" w:space="0" w:color="auto"/>
              </w:divBdr>
            </w:div>
          </w:divsChild>
        </w:div>
        <w:div w:id="530261639">
          <w:marLeft w:val="0"/>
          <w:marRight w:val="0"/>
          <w:marTop w:val="0"/>
          <w:marBottom w:val="0"/>
          <w:divBdr>
            <w:top w:val="none" w:sz="0" w:space="0" w:color="auto"/>
            <w:left w:val="none" w:sz="0" w:space="0" w:color="auto"/>
            <w:bottom w:val="none" w:sz="0" w:space="0" w:color="auto"/>
            <w:right w:val="none" w:sz="0" w:space="0" w:color="auto"/>
          </w:divBdr>
        </w:div>
      </w:divsChild>
    </w:div>
    <w:div w:id="959188399">
      <w:bodyDiv w:val="1"/>
      <w:marLeft w:val="0"/>
      <w:marRight w:val="0"/>
      <w:marTop w:val="0"/>
      <w:marBottom w:val="0"/>
      <w:divBdr>
        <w:top w:val="none" w:sz="0" w:space="0" w:color="auto"/>
        <w:left w:val="none" w:sz="0" w:space="0" w:color="auto"/>
        <w:bottom w:val="none" w:sz="0" w:space="0" w:color="auto"/>
        <w:right w:val="none" w:sz="0" w:space="0" w:color="auto"/>
      </w:divBdr>
    </w:div>
    <w:div w:id="1307978644">
      <w:bodyDiv w:val="1"/>
      <w:marLeft w:val="0"/>
      <w:marRight w:val="0"/>
      <w:marTop w:val="0"/>
      <w:marBottom w:val="0"/>
      <w:divBdr>
        <w:top w:val="none" w:sz="0" w:space="0" w:color="auto"/>
        <w:left w:val="none" w:sz="0" w:space="0" w:color="auto"/>
        <w:bottom w:val="none" w:sz="0" w:space="0" w:color="auto"/>
        <w:right w:val="none" w:sz="0" w:space="0" w:color="auto"/>
      </w:divBdr>
      <w:divsChild>
        <w:div w:id="627315912">
          <w:marLeft w:val="547"/>
          <w:marRight w:val="0"/>
          <w:marTop w:val="0"/>
          <w:marBottom w:val="0"/>
          <w:divBdr>
            <w:top w:val="none" w:sz="0" w:space="0" w:color="auto"/>
            <w:left w:val="none" w:sz="0" w:space="0" w:color="auto"/>
            <w:bottom w:val="none" w:sz="0" w:space="0" w:color="auto"/>
            <w:right w:val="none" w:sz="0" w:space="0" w:color="auto"/>
          </w:divBdr>
        </w:div>
      </w:divsChild>
    </w:div>
    <w:div w:id="1312829044">
      <w:bodyDiv w:val="1"/>
      <w:marLeft w:val="0"/>
      <w:marRight w:val="0"/>
      <w:marTop w:val="0"/>
      <w:marBottom w:val="0"/>
      <w:divBdr>
        <w:top w:val="none" w:sz="0" w:space="0" w:color="auto"/>
        <w:left w:val="none" w:sz="0" w:space="0" w:color="auto"/>
        <w:bottom w:val="none" w:sz="0" w:space="0" w:color="auto"/>
        <w:right w:val="none" w:sz="0" w:space="0" w:color="auto"/>
      </w:divBdr>
    </w:div>
    <w:div w:id="1550653643">
      <w:bodyDiv w:val="1"/>
      <w:marLeft w:val="0"/>
      <w:marRight w:val="0"/>
      <w:marTop w:val="0"/>
      <w:marBottom w:val="0"/>
      <w:divBdr>
        <w:top w:val="none" w:sz="0" w:space="0" w:color="auto"/>
        <w:left w:val="none" w:sz="0" w:space="0" w:color="auto"/>
        <w:bottom w:val="none" w:sz="0" w:space="0" w:color="auto"/>
        <w:right w:val="none" w:sz="0" w:space="0" w:color="auto"/>
      </w:divBdr>
      <w:divsChild>
        <w:div w:id="41640023">
          <w:marLeft w:val="0"/>
          <w:marRight w:val="0"/>
          <w:marTop w:val="0"/>
          <w:marBottom w:val="0"/>
          <w:divBdr>
            <w:top w:val="none" w:sz="0" w:space="0" w:color="auto"/>
            <w:left w:val="none" w:sz="0" w:space="0" w:color="auto"/>
            <w:bottom w:val="none" w:sz="0" w:space="0" w:color="auto"/>
            <w:right w:val="none" w:sz="0" w:space="0" w:color="auto"/>
          </w:divBdr>
        </w:div>
        <w:div w:id="1751122714">
          <w:marLeft w:val="0"/>
          <w:marRight w:val="0"/>
          <w:marTop w:val="0"/>
          <w:marBottom w:val="0"/>
          <w:divBdr>
            <w:top w:val="none" w:sz="0" w:space="0" w:color="auto"/>
            <w:left w:val="none" w:sz="0" w:space="0" w:color="auto"/>
            <w:bottom w:val="none" w:sz="0" w:space="0" w:color="auto"/>
            <w:right w:val="none" w:sz="0" w:space="0" w:color="auto"/>
          </w:divBdr>
        </w:div>
        <w:div w:id="2100517730">
          <w:marLeft w:val="0"/>
          <w:marRight w:val="0"/>
          <w:marTop w:val="0"/>
          <w:marBottom w:val="0"/>
          <w:divBdr>
            <w:top w:val="none" w:sz="0" w:space="0" w:color="auto"/>
            <w:left w:val="none" w:sz="0" w:space="0" w:color="auto"/>
            <w:bottom w:val="none" w:sz="0" w:space="0" w:color="auto"/>
            <w:right w:val="none" w:sz="0" w:space="0" w:color="auto"/>
          </w:divBdr>
        </w:div>
      </w:divsChild>
    </w:div>
    <w:div w:id="1559513363">
      <w:bodyDiv w:val="1"/>
      <w:marLeft w:val="0"/>
      <w:marRight w:val="0"/>
      <w:marTop w:val="0"/>
      <w:marBottom w:val="0"/>
      <w:divBdr>
        <w:top w:val="none" w:sz="0" w:space="0" w:color="auto"/>
        <w:left w:val="none" w:sz="0" w:space="0" w:color="auto"/>
        <w:bottom w:val="none" w:sz="0" w:space="0" w:color="auto"/>
        <w:right w:val="none" w:sz="0" w:space="0" w:color="auto"/>
      </w:divBdr>
    </w:div>
    <w:div w:id="2069911061">
      <w:bodyDiv w:val="1"/>
      <w:marLeft w:val="0"/>
      <w:marRight w:val="0"/>
      <w:marTop w:val="0"/>
      <w:marBottom w:val="0"/>
      <w:divBdr>
        <w:top w:val="none" w:sz="0" w:space="0" w:color="auto"/>
        <w:left w:val="none" w:sz="0" w:space="0" w:color="auto"/>
        <w:bottom w:val="none" w:sz="0" w:space="0" w:color="auto"/>
        <w:right w:val="none" w:sz="0" w:space="0" w:color="auto"/>
      </w:divBdr>
      <w:divsChild>
        <w:div w:id="15873760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BC473EE-7679-406F-BD14-EBCA9AB8754D}" type="doc">
      <dgm:prSet loTypeId="urn:microsoft.com/office/officeart/2005/8/layout/matrix2" loCatId="matrix" qsTypeId="urn:microsoft.com/office/officeart/2005/8/quickstyle/3d2" qsCatId="3D" csTypeId="urn:microsoft.com/office/officeart/2005/8/colors/accent0_3" csCatId="mainScheme" phldr="1"/>
      <dgm:spPr/>
      <dgm:t>
        <a:bodyPr/>
        <a:lstStyle/>
        <a:p>
          <a:endParaRPr lang="cs-CZ"/>
        </a:p>
      </dgm:t>
    </dgm:pt>
    <dgm:pt modelId="{B9258F18-A80D-4205-BE0F-9210851A80A8}">
      <dgm:prSet phldrT="[Text]" custT="1"/>
      <dgm:spPr>
        <a:solidFill>
          <a:srgbClr val="92D050"/>
        </a:solidFill>
      </dgm:spPr>
      <dgm:t>
        <a:bodyPr/>
        <a:lstStyle/>
        <a:p>
          <a:r>
            <a:rPr lang="cs-CZ" sz="800">
              <a:solidFill>
                <a:srgbClr val="FF0000"/>
              </a:solidFill>
            </a:rPr>
            <a:t>projekty s vysokým potenciálem pro budoucí přínos</a:t>
          </a:r>
        </a:p>
      </dgm:t>
    </dgm:pt>
    <dgm:pt modelId="{9E439F5E-3D87-49BE-976B-5DF9937F8822}" type="parTrans" cxnId="{ED0F68DB-E0A6-4F04-BF7B-5BF7BC926B3F}">
      <dgm:prSet/>
      <dgm:spPr/>
      <dgm:t>
        <a:bodyPr/>
        <a:lstStyle/>
        <a:p>
          <a:endParaRPr lang="cs-CZ">
            <a:solidFill>
              <a:srgbClr val="FF0000"/>
            </a:solidFill>
          </a:endParaRPr>
        </a:p>
      </dgm:t>
    </dgm:pt>
    <dgm:pt modelId="{6F1E2CBE-4738-4CD3-ABDB-92EAD5DC495C}" type="sibTrans" cxnId="{ED0F68DB-E0A6-4F04-BF7B-5BF7BC926B3F}">
      <dgm:prSet/>
      <dgm:spPr/>
      <dgm:t>
        <a:bodyPr/>
        <a:lstStyle/>
        <a:p>
          <a:endParaRPr lang="cs-CZ">
            <a:solidFill>
              <a:srgbClr val="FF0000"/>
            </a:solidFill>
          </a:endParaRPr>
        </a:p>
      </dgm:t>
    </dgm:pt>
    <dgm:pt modelId="{760BD64E-A883-44CC-B0F7-87C59A6166CA}">
      <dgm:prSet phldrT="[Text]" custT="1"/>
      <dgm:spPr>
        <a:solidFill>
          <a:srgbClr val="92D050"/>
        </a:solidFill>
      </dgm:spPr>
      <dgm:t>
        <a:bodyPr/>
        <a:lstStyle/>
        <a:p>
          <a:r>
            <a:rPr lang="cs-CZ" sz="800">
              <a:solidFill>
                <a:srgbClr val="FF0000"/>
              </a:solidFill>
            </a:rPr>
            <a:t>strategicky významné projekty</a:t>
          </a:r>
        </a:p>
      </dgm:t>
    </dgm:pt>
    <dgm:pt modelId="{91ECB6E5-EA6F-4674-A13F-B1E8F36E3165}" type="parTrans" cxnId="{C8C49A10-BBA7-488E-AFF0-415CC81239F9}">
      <dgm:prSet/>
      <dgm:spPr/>
      <dgm:t>
        <a:bodyPr/>
        <a:lstStyle/>
        <a:p>
          <a:endParaRPr lang="cs-CZ">
            <a:solidFill>
              <a:srgbClr val="FF0000"/>
            </a:solidFill>
          </a:endParaRPr>
        </a:p>
      </dgm:t>
    </dgm:pt>
    <dgm:pt modelId="{C920B6F1-2630-45E9-BD6B-F7ECDFE6D0DC}" type="sibTrans" cxnId="{C8C49A10-BBA7-488E-AFF0-415CC81239F9}">
      <dgm:prSet/>
      <dgm:spPr/>
      <dgm:t>
        <a:bodyPr/>
        <a:lstStyle/>
        <a:p>
          <a:endParaRPr lang="cs-CZ">
            <a:solidFill>
              <a:srgbClr val="FF0000"/>
            </a:solidFill>
          </a:endParaRPr>
        </a:p>
      </dgm:t>
    </dgm:pt>
    <dgm:pt modelId="{D06F730A-AF79-4AB3-8633-B0B2033F3C02}">
      <dgm:prSet phldrT="[Text]" custT="1"/>
      <dgm:spPr>
        <a:solidFill>
          <a:srgbClr val="92D050"/>
        </a:solidFill>
      </dgm:spPr>
      <dgm:t>
        <a:bodyPr/>
        <a:lstStyle/>
        <a:p>
          <a:r>
            <a:rPr lang="cs-CZ" sz="800">
              <a:solidFill>
                <a:srgbClr val="FF0000"/>
              </a:solidFill>
            </a:rPr>
            <a:t>projekty rozvíjející podpůrné schopnosti</a:t>
          </a:r>
        </a:p>
      </dgm:t>
    </dgm:pt>
    <dgm:pt modelId="{EB7565B4-1CB3-4346-8737-F07D4ACE674E}" type="parTrans" cxnId="{AC3B637C-6474-4B94-B33F-05F07C31E799}">
      <dgm:prSet/>
      <dgm:spPr/>
      <dgm:t>
        <a:bodyPr/>
        <a:lstStyle/>
        <a:p>
          <a:endParaRPr lang="cs-CZ">
            <a:solidFill>
              <a:srgbClr val="FF0000"/>
            </a:solidFill>
          </a:endParaRPr>
        </a:p>
      </dgm:t>
    </dgm:pt>
    <dgm:pt modelId="{8D331270-7585-43DA-BDD9-A4EAB0CF1666}" type="sibTrans" cxnId="{AC3B637C-6474-4B94-B33F-05F07C31E799}">
      <dgm:prSet/>
      <dgm:spPr/>
      <dgm:t>
        <a:bodyPr/>
        <a:lstStyle/>
        <a:p>
          <a:endParaRPr lang="cs-CZ">
            <a:solidFill>
              <a:srgbClr val="FF0000"/>
            </a:solidFill>
          </a:endParaRPr>
        </a:p>
      </dgm:t>
    </dgm:pt>
    <dgm:pt modelId="{CB67B441-2887-44F8-A0D8-FA1BD5E17FDC}">
      <dgm:prSet phldrT="[Text]" custT="1"/>
      <dgm:spPr>
        <a:solidFill>
          <a:srgbClr val="92D050"/>
        </a:solidFill>
      </dgm:spPr>
      <dgm:t>
        <a:bodyPr/>
        <a:lstStyle/>
        <a:p>
          <a:r>
            <a:rPr lang="cs-CZ" sz="800">
              <a:solidFill>
                <a:srgbClr val="FF0000"/>
              </a:solidFill>
            </a:rPr>
            <a:t>projekty s klíčovým operačním významem</a:t>
          </a:r>
        </a:p>
      </dgm:t>
    </dgm:pt>
    <dgm:pt modelId="{5EE6DB56-57F1-4A46-8738-1F0640AFDA91}" type="parTrans" cxnId="{8C4F6F65-C255-4DDA-9243-E8EA5C977D95}">
      <dgm:prSet/>
      <dgm:spPr/>
      <dgm:t>
        <a:bodyPr/>
        <a:lstStyle/>
        <a:p>
          <a:endParaRPr lang="cs-CZ">
            <a:solidFill>
              <a:srgbClr val="FF0000"/>
            </a:solidFill>
          </a:endParaRPr>
        </a:p>
      </dgm:t>
    </dgm:pt>
    <dgm:pt modelId="{12492E1E-A6E8-4DDC-9774-A268A5460624}" type="sibTrans" cxnId="{8C4F6F65-C255-4DDA-9243-E8EA5C977D95}">
      <dgm:prSet/>
      <dgm:spPr/>
      <dgm:t>
        <a:bodyPr/>
        <a:lstStyle/>
        <a:p>
          <a:endParaRPr lang="cs-CZ">
            <a:solidFill>
              <a:srgbClr val="FF0000"/>
            </a:solidFill>
          </a:endParaRPr>
        </a:p>
      </dgm:t>
    </dgm:pt>
    <dgm:pt modelId="{38A32087-835A-48D6-BC4F-241921C685BF}" type="pres">
      <dgm:prSet presAssocID="{1BC473EE-7679-406F-BD14-EBCA9AB8754D}" presName="matrix" presStyleCnt="0">
        <dgm:presLayoutVars>
          <dgm:chMax val="1"/>
          <dgm:dir/>
          <dgm:resizeHandles val="exact"/>
        </dgm:presLayoutVars>
      </dgm:prSet>
      <dgm:spPr/>
      <dgm:t>
        <a:bodyPr/>
        <a:lstStyle/>
        <a:p>
          <a:endParaRPr lang="cs-CZ"/>
        </a:p>
      </dgm:t>
    </dgm:pt>
    <dgm:pt modelId="{181F2BF4-776E-43FE-96B1-D5090736CB71}" type="pres">
      <dgm:prSet presAssocID="{1BC473EE-7679-406F-BD14-EBCA9AB8754D}" presName="axisShape" presStyleLbl="bgShp" presStyleIdx="0" presStyleCnt="1" custLinFactNeighborX="0"/>
      <dgm:spPr/>
    </dgm:pt>
    <dgm:pt modelId="{D72F42EB-A816-4457-B38D-4E506AFDA24E}" type="pres">
      <dgm:prSet presAssocID="{1BC473EE-7679-406F-BD14-EBCA9AB8754D}" presName="rect1" presStyleLbl="node1" presStyleIdx="0" presStyleCnt="4">
        <dgm:presLayoutVars>
          <dgm:chMax val="0"/>
          <dgm:chPref val="0"/>
          <dgm:bulletEnabled val="1"/>
        </dgm:presLayoutVars>
      </dgm:prSet>
      <dgm:spPr/>
      <dgm:t>
        <a:bodyPr/>
        <a:lstStyle/>
        <a:p>
          <a:endParaRPr lang="cs-CZ"/>
        </a:p>
      </dgm:t>
    </dgm:pt>
    <dgm:pt modelId="{5AF58947-2DE0-4118-935E-754B18BBED40}" type="pres">
      <dgm:prSet presAssocID="{1BC473EE-7679-406F-BD14-EBCA9AB8754D}" presName="rect2" presStyleLbl="node1" presStyleIdx="1" presStyleCnt="4">
        <dgm:presLayoutVars>
          <dgm:chMax val="0"/>
          <dgm:chPref val="0"/>
          <dgm:bulletEnabled val="1"/>
        </dgm:presLayoutVars>
      </dgm:prSet>
      <dgm:spPr/>
      <dgm:t>
        <a:bodyPr/>
        <a:lstStyle/>
        <a:p>
          <a:endParaRPr lang="cs-CZ"/>
        </a:p>
      </dgm:t>
    </dgm:pt>
    <dgm:pt modelId="{40363063-A4A7-4F78-B58B-08AD0A48529E}" type="pres">
      <dgm:prSet presAssocID="{1BC473EE-7679-406F-BD14-EBCA9AB8754D}" presName="rect3" presStyleLbl="node1" presStyleIdx="2" presStyleCnt="4">
        <dgm:presLayoutVars>
          <dgm:chMax val="0"/>
          <dgm:chPref val="0"/>
          <dgm:bulletEnabled val="1"/>
        </dgm:presLayoutVars>
      </dgm:prSet>
      <dgm:spPr/>
      <dgm:t>
        <a:bodyPr/>
        <a:lstStyle/>
        <a:p>
          <a:endParaRPr lang="cs-CZ"/>
        </a:p>
      </dgm:t>
    </dgm:pt>
    <dgm:pt modelId="{75F7BCC7-5EA7-4521-995E-EACC30594D5E}" type="pres">
      <dgm:prSet presAssocID="{1BC473EE-7679-406F-BD14-EBCA9AB8754D}" presName="rect4" presStyleLbl="node1" presStyleIdx="3" presStyleCnt="4">
        <dgm:presLayoutVars>
          <dgm:chMax val="0"/>
          <dgm:chPref val="0"/>
          <dgm:bulletEnabled val="1"/>
        </dgm:presLayoutVars>
      </dgm:prSet>
      <dgm:spPr/>
      <dgm:t>
        <a:bodyPr/>
        <a:lstStyle/>
        <a:p>
          <a:endParaRPr lang="cs-CZ"/>
        </a:p>
      </dgm:t>
    </dgm:pt>
  </dgm:ptLst>
  <dgm:cxnLst>
    <dgm:cxn modelId="{8C4F6F65-C255-4DDA-9243-E8EA5C977D95}" srcId="{1BC473EE-7679-406F-BD14-EBCA9AB8754D}" destId="{CB67B441-2887-44F8-A0D8-FA1BD5E17FDC}" srcOrd="3" destOrd="0" parTransId="{5EE6DB56-57F1-4A46-8738-1F0640AFDA91}" sibTransId="{12492E1E-A6E8-4DDC-9774-A268A5460624}"/>
    <dgm:cxn modelId="{ED0F68DB-E0A6-4F04-BF7B-5BF7BC926B3F}" srcId="{1BC473EE-7679-406F-BD14-EBCA9AB8754D}" destId="{B9258F18-A80D-4205-BE0F-9210851A80A8}" srcOrd="0" destOrd="0" parTransId="{9E439F5E-3D87-49BE-976B-5DF9937F8822}" sibTransId="{6F1E2CBE-4738-4CD3-ABDB-92EAD5DC495C}"/>
    <dgm:cxn modelId="{4056A69C-C7C8-40EC-AAB4-67F061D59DBA}" type="presOf" srcId="{CB67B441-2887-44F8-A0D8-FA1BD5E17FDC}" destId="{75F7BCC7-5EA7-4521-995E-EACC30594D5E}" srcOrd="0" destOrd="0" presId="urn:microsoft.com/office/officeart/2005/8/layout/matrix2"/>
    <dgm:cxn modelId="{5E6C4642-03FB-465A-A62C-7A7FA89574B1}" type="presOf" srcId="{1BC473EE-7679-406F-BD14-EBCA9AB8754D}" destId="{38A32087-835A-48D6-BC4F-241921C685BF}" srcOrd="0" destOrd="0" presId="urn:microsoft.com/office/officeart/2005/8/layout/matrix2"/>
    <dgm:cxn modelId="{190241C1-D86D-49EE-8E93-1B96C90111D5}" type="presOf" srcId="{B9258F18-A80D-4205-BE0F-9210851A80A8}" destId="{D72F42EB-A816-4457-B38D-4E506AFDA24E}" srcOrd="0" destOrd="0" presId="urn:microsoft.com/office/officeart/2005/8/layout/matrix2"/>
    <dgm:cxn modelId="{959A00EC-2AFA-4F86-BCAE-159A33232CB7}" type="presOf" srcId="{D06F730A-AF79-4AB3-8633-B0B2033F3C02}" destId="{40363063-A4A7-4F78-B58B-08AD0A48529E}" srcOrd="0" destOrd="0" presId="urn:microsoft.com/office/officeart/2005/8/layout/matrix2"/>
    <dgm:cxn modelId="{AC3B637C-6474-4B94-B33F-05F07C31E799}" srcId="{1BC473EE-7679-406F-BD14-EBCA9AB8754D}" destId="{D06F730A-AF79-4AB3-8633-B0B2033F3C02}" srcOrd="2" destOrd="0" parTransId="{EB7565B4-1CB3-4346-8737-F07D4ACE674E}" sibTransId="{8D331270-7585-43DA-BDD9-A4EAB0CF1666}"/>
    <dgm:cxn modelId="{C8C49A10-BBA7-488E-AFF0-415CC81239F9}" srcId="{1BC473EE-7679-406F-BD14-EBCA9AB8754D}" destId="{760BD64E-A883-44CC-B0F7-87C59A6166CA}" srcOrd="1" destOrd="0" parTransId="{91ECB6E5-EA6F-4674-A13F-B1E8F36E3165}" sibTransId="{C920B6F1-2630-45E9-BD6B-F7ECDFE6D0DC}"/>
    <dgm:cxn modelId="{1C2F362A-BE38-4291-A82D-D4A9640517E3}" type="presOf" srcId="{760BD64E-A883-44CC-B0F7-87C59A6166CA}" destId="{5AF58947-2DE0-4118-935E-754B18BBED40}" srcOrd="0" destOrd="0" presId="urn:microsoft.com/office/officeart/2005/8/layout/matrix2"/>
    <dgm:cxn modelId="{147B6552-DBAB-418A-AA51-A3AA153C6D08}" type="presParOf" srcId="{38A32087-835A-48D6-BC4F-241921C685BF}" destId="{181F2BF4-776E-43FE-96B1-D5090736CB71}" srcOrd="0" destOrd="0" presId="urn:microsoft.com/office/officeart/2005/8/layout/matrix2"/>
    <dgm:cxn modelId="{3E13F3BB-1B02-4E25-A1D6-1BCB287F7921}" type="presParOf" srcId="{38A32087-835A-48D6-BC4F-241921C685BF}" destId="{D72F42EB-A816-4457-B38D-4E506AFDA24E}" srcOrd="1" destOrd="0" presId="urn:microsoft.com/office/officeart/2005/8/layout/matrix2"/>
    <dgm:cxn modelId="{7A0FD749-7E0E-482F-91EE-BD3DC7D856CF}" type="presParOf" srcId="{38A32087-835A-48D6-BC4F-241921C685BF}" destId="{5AF58947-2DE0-4118-935E-754B18BBED40}" srcOrd="2" destOrd="0" presId="urn:microsoft.com/office/officeart/2005/8/layout/matrix2"/>
    <dgm:cxn modelId="{E27A562A-BFDF-404B-AC6D-EB53811DA9F7}" type="presParOf" srcId="{38A32087-835A-48D6-BC4F-241921C685BF}" destId="{40363063-A4A7-4F78-B58B-08AD0A48529E}" srcOrd="3" destOrd="0" presId="urn:microsoft.com/office/officeart/2005/8/layout/matrix2"/>
    <dgm:cxn modelId="{8EC6206F-47E7-4126-8F36-671946C1B6C1}" type="presParOf" srcId="{38A32087-835A-48D6-BC4F-241921C685BF}" destId="{75F7BCC7-5EA7-4521-995E-EACC30594D5E}" srcOrd="4" destOrd="0" presId="urn:microsoft.com/office/officeart/2005/8/layout/matrix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1F2BF4-776E-43FE-96B1-D5090736CB71}">
      <dsp:nvSpPr>
        <dsp:cNvPr id="0" name=""/>
        <dsp:cNvSpPr/>
      </dsp:nvSpPr>
      <dsp:spPr>
        <a:xfrm>
          <a:off x="1862758" y="0"/>
          <a:ext cx="1746914" cy="1746914"/>
        </a:xfrm>
        <a:prstGeom prst="quadArrow">
          <a:avLst>
            <a:gd name="adj1" fmla="val 2000"/>
            <a:gd name="adj2" fmla="val 4000"/>
            <a:gd name="adj3" fmla="val 5000"/>
          </a:avLst>
        </a:prstGeom>
        <a:gradFill rotWithShape="0">
          <a:gsLst>
            <a:gs pos="0">
              <a:schemeClr val="dk2">
                <a:tint val="40000"/>
                <a:hueOff val="0"/>
                <a:satOff val="0"/>
                <a:lumOff val="0"/>
                <a:alphaOff val="0"/>
                <a:satMod val="103000"/>
                <a:lumMod val="102000"/>
                <a:tint val="94000"/>
              </a:schemeClr>
            </a:gs>
            <a:gs pos="50000">
              <a:schemeClr val="dk2">
                <a:tint val="40000"/>
                <a:hueOff val="0"/>
                <a:satOff val="0"/>
                <a:lumOff val="0"/>
                <a:alphaOff val="0"/>
                <a:satMod val="110000"/>
                <a:lumMod val="100000"/>
                <a:shade val="100000"/>
              </a:schemeClr>
            </a:gs>
            <a:gs pos="100000">
              <a:schemeClr val="dk2">
                <a:tint val="40000"/>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D72F42EB-A816-4457-B38D-4E506AFDA24E}">
      <dsp:nvSpPr>
        <dsp:cNvPr id="0" name=""/>
        <dsp:cNvSpPr/>
      </dsp:nvSpPr>
      <dsp:spPr>
        <a:xfrm>
          <a:off x="1976307" y="113549"/>
          <a:ext cx="698765" cy="698765"/>
        </a:xfrm>
        <a:prstGeom prst="roundRect">
          <a:avLst/>
        </a:prstGeom>
        <a:solidFill>
          <a:srgbClr val="92D05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a:solidFill>
                <a:srgbClr val="FF0000"/>
              </a:solidFill>
            </a:rPr>
            <a:t>projekty s vysokým potenciálem pro budoucí přínos</a:t>
          </a:r>
        </a:p>
      </dsp:txBody>
      <dsp:txXfrm>
        <a:off x="2010418" y="147660"/>
        <a:ext cx="630543" cy="630543"/>
      </dsp:txXfrm>
    </dsp:sp>
    <dsp:sp modelId="{5AF58947-2DE0-4118-935E-754B18BBED40}">
      <dsp:nvSpPr>
        <dsp:cNvPr id="0" name=""/>
        <dsp:cNvSpPr/>
      </dsp:nvSpPr>
      <dsp:spPr>
        <a:xfrm>
          <a:off x="2797356" y="113549"/>
          <a:ext cx="698765" cy="698765"/>
        </a:xfrm>
        <a:prstGeom prst="roundRect">
          <a:avLst/>
        </a:prstGeom>
        <a:solidFill>
          <a:srgbClr val="92D05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a:solidFill>
                <a:srgbClr val="FF0000"/>
              </a:solidFill>
            </a:rPr>
            <a:t>strategicky významné projekty</a:t>
          </a:r>
        </a:p>
      </dsp:txBody>
      <dsp:txXfrm>
        <a:off x="2831467" y="147660"/>
        <a:ext cx="630543" cy="630543"/>
      </dsp:txXfrm>
    </dsp:sp>
    <dsp:sp modelId="{40363063-A4A7-4F78-B58B-08AD0A48529E}">
      <dsp:nvSpPr>
        <dsp:cNvPr id="0" name=""/>
        <dsp:cNvSpPr/>
      </dsp:nvSpPr>
      <dsp:spPr>
        <a:xfrm>
          <a:off x="1976307" y="934598"/>
          <a:ext cx="698765" cy="698765"/>
        </a:xfrm>
        <a:prstGeom prst="roundRect">
          <a:avLst/>
        </a:prstGeom>
        <a:solidFill>
          <a:srgbClr val="92D05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a:solidFill>
                <a:srgbClr val="FF0000"/>
              </a:solidFill>
            </a:rPr>
            <a:t>projekty rozvíjející podpůrné schopnosti</a:t>
          </a:r>
        </a:p>
      </dsp:txBody>
      <dsp:txXfrm>
        <a:off x="2010418" y="968709"/>
        <a:ext cx="630543" cy="630543"/>
      </dsp:txXfrm>
    </dsp:sp>
    <dsp:sp modelId="{75F7BCC7-5EA7-4521-995E-EACC30594D5E}">
      <dsp:nvSpPr>
        <dsp:cNvPr id="0" name=""/>
        <dsp:cNvSpPr/>
      </dsp:nvSpPr>
      <dsp:spPr>
        <a:xfrm>
          <a:off x="2797356" y="934598"/>
          <a:ext cx="698765" cy="698765"/>
        </a:xfrm>
        <a:prstGeom prst="roundRect">
          <a:avLst/>
        </a:prstGeom>
        <a:solidFill>
          <a:srgbClr val="92D05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cs-CZ" sz="800" kern="1200">
              <a:solidFill>
                <a:srgbClr val="FF0000"/>
              </a:solidFill>
            </a:rPr>
            <a:t>projekty s klíčovým operačním významem</a:t>
          </a:r>
        </a:p>
      </dsp:txBody>
      <dsp:txXfrm>
        <a:off x="2831467" y="968709"/>
        <a:ext cx="630543" cy="630543"/>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Modrá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vní prvek a datum" Version="1987">
  <b:Source>
    <b:Tag>Tec</b:Tag>
    <b:SourceType>Report</b:SourceType>
    <b:Guid>{3AB70B24-659F-4713-9394-C445144B9FBC}</b:Guid>
    <b:Author>
      <b:Author>
        <b:Corporate>Technologické centrum AV ČR</b:Corporate>
      </b:Author>
    </b:Author>
    <b:Title>Souhrnná zpráva o stavu prostředí bezpečnostního výzkumu v ČR</b:Title>
    <b:Year>2016</b:Year>
    <b:Publisher>TCAV</b:Publisher>
    <b:City>Praha</b:City>
    <b:RefOrder>3</b:RefOrder>
  </b:Source>
</b:Sources>
</file>

<file path=customXml/itemProps1.xml><?xml version="1.0" encoding="utf-8"?>
<ds:datastoreItem xmlns:ds="http://schemas.openxmlformats.org/officeDocument/2006/customXml" ds:itemID="{C524451F-B7CF-4DB2-B492-6D96C411D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10438</Words>
  <Characters>61585</Characters>
  <Application>Microsoft Office Word</Application>
  <DocSecurity>0</DocSecurity>
  <Lines>513</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2021-11-03T14:26:00Z</dcterms:created>
  <dcterms:modified xsi:type="dcterms:W3CDTF">2021-11-04T09:20:00Z</dcterms:modified>
</cp:coreProperties>
</file>